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A33A" w14:textId="77777777" w:rsidR="00994968" w:rsidRDefault="00994968" w:rsidP="00994968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1CD3F15" wp14:editId="39F9A986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AE5A" w14:textId="77777777" w:rsidR="00994968" w:rsidRDefault="00994968" w:rsidP="00994968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7E59B11" w14:textId="77777777" w:rsidR="00994968" w:rsidRDefault="00994968" w:rsidP="00994968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E7ADC5A" w14:textId="32C8C624" w:rsidR="00994968" w:rsidRPr="002B0B48" w:rsidRDefault="00994968" w:rsidP="00994968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>A Level</w:t>
      </w:r>
      <w:r>
        <w:rPr>
          <w:rFonts w:cstheme="minorHAnsi"/>
          <w:b/>
          <w:bCs/>
          <w:sz w:val="48"/>
          <w:szCs w:val="48"/>
        </w:rPr>
        <w:t xml:space="preserve"> Religious Studies </w:t>
      </w:r>
    </w:p>
    <w:p w14:paraId="7A64483A" w14:textId="77777777" w:rsidR="00994968" w:rsidRDefault="00994968" w:rsidP="00994968">
      <w:pPr>
        <w:spacing w:line="276" w:lineRule="auto"/>
        <w:ind w:left="360" w:right="926"/>
        <w:rPr>
          <w:rFonts w:cstheme="minorHAnsi"/>
          <w:b/>
          <w:bCs/>
        </w:rPr>
      </w:pPr>
    </w:p>
    <w:p w14:paraId="3A5D218D" w14:textId="286BA7F8" w:rsidR="008F13C9" w:rsidRDefault="00994968" w:rsidP="00994968">
      <w:pPr>
        <w:spacing w:line="276" w:lineRule="auto"/>
        <w:ind w:left="360" w:right="926"/>
        <w:rPr>
          <w:rStyle w:val="Hyperlink"/>
          <w:rFonts w:cstheme="minorHAnsi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</w:rPr>
        <w:br/>
      </w:r>
      <w:r w:rsidR="008F13C9">
        <w:rPr>
          <w:rFonts w:cstheme="minorHAnsi"/>
        </w:rPr>
        <w:t xml:space="preserve">Matthew Smith </w:t>
      </w:r>
      <w:hyperlink r:id="rId6" w:history="1">
        <w:r w:rsidR="008F13C9" w:rsidRPr="00DC31B8">
          <w:rPr>
            <w:rStyle w:val="Hyperlink"/>
            <w:rFonts w:cstheme="minorHAnsi"/>
          </w:rPr>
          <w:t>smithma@btc.ac.uk</w:t>
        </w:r>
      </w:hyperlink>
    </w:p>
    <w:p w14:paraId="4517AAF6" w14:textId="77777777" w:rsidR="00994968" w:rsidRDefault="00994968" w:rsidP="00994968">
      <w:pPr>
        <w:spacing w:line="276" w:lineRule="auto"/>
        <w:ind w:left="360" w:right="926"/>
        <w:rPr>
          <w:rFonts w:cstheme="minorHAnsi"/>
        </w:rPr>
      </w:pPr>
    </w:p>
    <w:p w14:paraId="38067F5A" w14:textId="77777777" w:rsidR="00994968" w:rsidRDefault="00994968" w:rsidP="00994968">
      <w:pPr>
        <w:spacing w:line="276" w:lineRule="auto"/>
        <w:ind w:left="360" w:right="926"/>
        <w:rPr>
          <w:rFonts w:cstheme="minorHAnsi"/>
        </w:rPr>
      </w:pPr>
    </w:p>
    <w:p w14:paraId="2FC9CE5B" w14:textId="647EC385" w:rsidR="002B0B48" w:rsidRPr="00FC7C3E" w:rsidRDefault="002B0B48" w:rsidP="00994968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Activity 1</w:t>
      </w:r>
      <w:r w:rsidR="00994968">
        <w:rPr>
          <w:rFonts w:cstheme="minorHAnsi"/>
          <w:b/>
          <w:bCs/>
        </w:rPr>
        <w:t xml:space="preserve"> </w:t>
      </w:r>
      <w:r w:rsidR="00994968" w:rsidRPr="00994968">
        <w:rPr>
          <w:rFonts w:cstheme="minorHAnsi"/>
          <w:bCs/>
        </w:rPr>
        <w:t>-</w:t>
      </w:r>
      <w:r w:rsidRPr="00994968">
        <w:rPr>
          <w:rFonts w:cstheme="minorHAnsi"/>
          <w:bCs/>
        </w:rPr>
        <w:t xml:space="preserve"> </w:t>
      </w:r>
      <w:r w:rsidR="000E5F3F" w:rsidRPr="00994968">
        <w:rPr>
          <w:rFonts w:cstheme="minorHAnsi"/>
          <w:bCs/>
        </w:rPr>
        <w:t>Arguments for the existence of G</w:t>
      </w:r>
      <w:r w:rsidR="00E11A3D" w:rsidRPr="00994968">
        <w:rPr>
          <w:rFonts w:cstheme="minorHAnsi"/>
          <w:bCs/>
        </w:rPr>
        <w:t>o</w:t>
      </w:r>
      <w:r w:rsidR="000E5F3F" w:rsidRPr="00994968">
        <w:rPr>
          <w:rFonts w:cstheme="minorHAnsi"/>
          <w:bCs/>
        </w:rPr>
        <w:t>d</w:t>
      </w:r>
    </w:p>
    <w:p w14:paraId="6E1FB256" w14:textId="51097218" w:rsidR="00994968" w:rsidRDefault="000E5F3F" w:rsidP="00994968">
      <w:pPr>
        <w:ind w:left="360" w:right="926"/>
        <w:rPr>
          <w:rFonts w:cstheme="minorHAnsi"/>
        </w:rPr>
      </w:pPr>
      <w:r>
        <w:rPr>
          <w:rFonts w:cstheme="minorHAnsi"/>
        </w:rPr>
        <w:t xml:space="preserve">In our studies of the Philosophy of Religion, we will be examining three of the most common arguments for the existence of God. Whilst pre-existing knowledge of these arguments is not </w:t>
      </w:r>
      <w:r w:rsidR="00105703">
        <w:rPr>
          <w:rFonts w:cstheme="minorHAnsi"/>
        </w:rPr>
        <w:t>an essential</w:t>
      </w:r>
      <w:r>
        <w:rPr>
          <w:rFonts w:cstheme="minorHAnsi"/>
        </w:rPr>
        <w:t xml:space="preserve"> requirement </w:t>
      </w:r>
      <w:r w:rsidR="00E11A3D">
        <w:rPr>
          <w:rFonts w:cstheme="minorHAnsi"/>
        </w:rPr>
        <w:t xml:space="preserve">for </w:t>
      </w:r>
      <w:r w:rsidR="00105703">
        <w:rPr>
          <w:rFonts w:cstheme="minorHAnsi"/>
        </w:rPr>
        <w:t>the course</w:t>
      </w:r>
      <w:r w:rsidR="00E11A3D">
        <w:rPr>
          <w:rFonts w:cstheme="minorHAnsi"/>
        </w:rPr>
        <w:t>, knowledge of some appropriate subject vocabulary</w:t>
      </w:r>
      <w:r w:rsidR="00105703">
        <w:rPr>
          <w:rFonts w:cstheme="minorHAnsi"/>
        </w:rPr>
        <w:t xml:space="preserve"> is beneficial</w:t>
      </w:r>
      <w:r w:rsidR="00E11A3D">
        <w:rPr>
          <w:rFonts w:cstheme="minorHAnsi"/>
        </w:rPr>
        <w:t xml:space="preserve">. </w:t>
      </w:r>
      <w:r w:rsidR="00105703">
        <w:rPr>
          <w:rFonts w:cstheme="minorHAnsi"/>
        </w:rPr>
        <w:t>C</w:t>
      </w:r>
      <w:r w:rsidR="00E11A3D">
        <w:rPr>
          <w:rFonts w:cstheme="minorHAnsi"/>
        </w:rPr>
        <w:t>omplete the table below, outlining definitions of technical terms:</w:t>
      </w:r>
    </w:p>
    <w:p w14:paraId="47FD6BA7" w14:textId="77777777" w:rsidR="00994968" w:rsidRDefault="00994968" w:rsidP="00994968">
      <w:pPr>
        <w:ind w:left="360" w:right="926"/>
        <w:rPr>
          <w:rFonts w:cstheme="minorHAnsi"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994968" w:rsidRPr="00994968" w14:paraId="53F87FC8" w14:textId="77777777" w:rsidTr="00994968">
        <w:tc>
          <w:tcPr>
            <w:tcW w:w="2160" w:type="dxa"/>
          </w:tcPr>
          <w:p w14:paraId="17B3D520" w14:textId="659C0431" w:rsidR="00E11A3D" w:rsidRPr="00994968" w:rsidRDefault="00E11A3D" w:rsidP="00994968">
            <w:pPr>
              <w:spacing w:line="480" w:lineRule="auto"/>
              <w:ind w:left="73" w:right="1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Technical terms</w:t>
            </w:r>
          </w:p>
        </w:tc>
        <w:tc>
          <w:tcPr>
            <w:tcW w:w="7020" w:type="dxa"/>
          </w:tcPr>
          <w:p w14:paraId="6903DB14" w14:textId="232832C2" w:rsidR="00E11A3D" w:rsidRPr="00994968" w:rsidRDefault="00E11A3D" w:rsidP="00994968">
            <w:pPr>
              <w:spacing w:line="480" w:lineRule="auto"/>
              <w:ind w:left="74" w:right="1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Definition</w:t>
            </w:r>
          </w:p>
        </w:tc>
      </w:tr>
      <w:tr w:rsidR="00994968" w:rsidRPr="00994968" w14:paraId="4CD2C21C" w14:textId="77777777" w:rsidTr="00994968">
        <w:tc>
          <w:tcPr>
            <w:tcW w:w="2160" w:type="dxa"/>
          </w:tcPr>
          <w:p w14:paraId="1935405E" w14:textId="77777777" w:rsidR="00910D89" w:rsidRPr="004802D5" w:rsidRDefault="00910D89" w:rsidP="00994968">
            <w:pPr>
              <w:spacing w:line="480" w:lineRule="auto"/>
              <w:ind w:left="73" w:right="1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4802D5">
              <w:rPr>
                <w:rFonts w:cstheme="minorHAnsi"/>
                <w:iCs/>
                <w:color w:val="000000" w:themeColor="text1"/>
                <w:sz w:val="20"/>
                <w:szCs w:val="20"/>
              </w:rPr>
              <w:t>A posteriori</w:t>
            </w:r>
            <w:proofErr w:type="gramEnd"/>
          </w:p>
        </w:tc>
        <w:tc>
          <w:tcPr>
            <w:tcW w:w="7020" w:type="dxa"/>
          </w:tcPr>
          <w:p w14:paraId="2AF324AD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566E3E87" w14:textId="77777777" w:rsidTr="00994968">
        <w:tc>
          <w:tcPr>
            <w:tcW w:w="2160" w:type="dxa"/>
          </w:tcPr>
          <w:p w14:paraId="4C6D8E07" w14:textId="77777777" w:rsidR="00910D89" w:rsidRPr="004802D5" w:rsidRDefault="00910D89" w:rsidP="00994968">
            <w:pPr>
              <w:spacing w:line="480" w:lineRule="auto"/>
              <w:ind w:left="73" w:right="1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802D5">
              <w:rPr>
                <w:rFonts w:cstheme="minorHAnsi"/>
                <w:iCs/>
                <w:color w:val="000000" w:themeColor="text1"/>
                <w:sz w:val="20"/>
                <w:szCs w:val="20"/>
              </w:rPr>
              <w:t>A priori</w:t>
            </w:r>
          </w:p>
        </w:tc>
        <w:tc>
          <w:tcPr>
            <w:tcW w:w="7020" w:type="dxa"/>
          </w:tcPr>
          <w:p w14:paraId="21EE84ED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28F330C6" w14:textId="77777777" w:rsidTr="00994968">
        <w:tc>
          <w:tcPr>
            <w:tcW w:w="2160" w:type="dxa"/>
          </w:tcPr>
          <w:p w14:paraId="5E61B75A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Analogy</w:t>
            </w:r>
          </w:p>
        </w:tc>
        <w:tc>
          <w:tcPr>
            <w:tcW w:w="7020" w:type="dxa"/>
          </w:tcPr>
          <w:p w14:paraId="65C3F0A1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0ADDA0AF" w14:textId="77777777" w:rsidTr="00994968">
        <w:tc>
          <w:tcPr>
            <w:tcW w:w="2160" w:type="dxa"/>
          </w:tcPr>
          <w:p w14:paraId="14A2DF12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Anthropomorphism</w:t>
            </w:r>
          </w:p>
        </w:tc>
        <w:tc>
          <w:tcPr>
            <w:tcW w:w="7020" w:type="dxa"/>
          </w:tcPr>
          <w:p w14:paraId="47545F6D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0492F7BC" w14:textId="77777777" w:rsidTr="00994968">
        <w:tc>
          <w:tcPr>
            <w:tcW w:w="2160" w:type="dxa"/>
          </w:tcPr>
          <w:p w14:paraId="736A0302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Deduction</w:t>
            </w:r>
          </w:p>
        </w:tc>
        <w:tc>
          <w:tcPr>
            <w:tcW w:w="7020" w:type="dxa"/>
          </w:tcPr>
          <w:p w14:paraId="45024EB9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5E6E9093" w14:textId="77777777" w:rsidTr="00994968">
        <w:tc>
          <w:tcPr>
            <w:tcW w:w="2160" w:type="dxa"/>
          </w:tcPr>
          <w:p w14:paraId="1536A9B0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Empirical</w:t>
            </w:r>
          </w:p>
        </w:tc>
        <w:tc>
          <w:tcPr>
            <w:tcW w:w="7020" w:type="dxa"/>
          </w:tcPr>
          <w:p w14:paraId="6D1875DD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5AA4A8B1" w14:textId="77777777" w:rsidTr="00994968">
        <w:tc>
          <w:tcPr>
            <w:tcW w:w="2160" w:type="dxa"/>
          </w:tcPr>
          <w:p w14:paraId="52AD49D1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Fallacy</w:t>
            </w:r>
          </w:p>
        </w:tc>
        <w:tc>
          <w:tcPr>
            <w:tcW w:w="7020" w:type="dxa"/>
          </w:tcPr>
          <w:p w14:paraId="5CF5BEC6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1105CCCB" w14:textId="77777777" w:rsidTr="00994968">
        <w:tc>
          <w:tcPr>
            <w:tcW w:w="2160" w:type="dxa"/>
          </w:tcPr>
          <w:p w14:paraId="79E86451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Fideism</w:t>
            </w:r>
          </w:p>
        </w:tc>
        <w:tc>
          <w:tcPr>
            <w:tcW w:w="7020" w:type="dxa"/>
          </w:tcPr>
          <w:p w14:paraId="635D6558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6963CA4E" w14:textId="77777777" w:rsidTr="00994968">
        <w:trPr>
          <w:trHeight w:val="364"/>
        </w:trPr>
        <w:tc>
          <w:tcPr>
            <w:tcW w:w="2160" w:type="dxa"/>
          </w:tcPr>
          <w:p w14:paraId="268E49D6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Induction</w:t>
            </w:r>
          </w:p>
        </w:tc>
        <w:tc>
          <w:tcPr>
            <w:tcW w:w="7020" w:type="dxa"/>
          </w:tcPr>
          <w:p w14:paraId="3BB35229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94968" w:rsidRPr="00994968" w14:paraId="62299B87" w14:textId="77777777" w:rsidTr="00994968">
        <w:tc>
          <w:tcPr>
            <w:tcW w:w="2160" w:type="dxa"/>
          </w:tcPr>
          <w:p w14:paraId="34550341" w14:textId="77777777" w:rsidR="00910D89" w:rsidRPr="00994968" w:rsidRDefault="00910D89" w:rsidP="00994968">
            <w:pPr>
              <w:spacing w:line="480" w:lineRule="auto"/>
              <w:ind w:left="73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Premise</w:t>
            </w:r>
          </w:p>
        </w:tc>
        <w:tc>
          <w:tcPr>
            <w:tcW w:w="7020" w:type="dxa"/>
          </w:tcPr>
          <w:p w14:paraId="3C6AA430" w14:textId="77777777" w:rsidR="00910D89" w:rsidRPr="00994968" w:rsidRDefault="00910D89" w:rsidP="00994968">
            <w:pPr>
              <w:spacing w:line="480" w:lineRule="auto"/>
              <w:ind w:left="74" w:right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1C2F615" w14:textId="7ECDE57E" w:rsidR="00E11A3D" w:rsidRDefault="00E11A3D" w:rsidP="00994968">
      <w:pPr>
        <w:ind w:left="360" w:right="926"/>
        <w:rPr>
          <w:rFonts w:cstheme="minorHAnsi"/>
        </w:rPr>
      </w:pPr>
    </w:p>
    <w:p w14:paraId="3BEA0B8F" w14:textId="5143A402" w:rsidR="00E11A3D" w:rsidRDefault="00E11A3D" w:rsidP="00994968">
      <w:pPr>
        <w:ind w:left="360" w:right="926"/>
        <w:rPr>
          <w:rStyle w:val="Hyperlink"/>
          <w:rFonts w:cstheme="minorHAnsi"/>
        </w:rPr>
      </w:pPr>
      <w:r>
        <w:rPr>
          <w:rFonts w:cstheme="minorHAnsi"/>
        </w:rPr>
        <w:t>To help in completing this task</w:t>
      </w:r>
      <w:r w:rsidR="009B3DD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10D89">
        <w:rPr>
          <w:rFonts w:cstheme="minorHAnsi"/>
        </w:rPr>
        <w:t>you may wish to</w:t>
      </w:r>
      <w:r>
        <w:rPr>
          <w:rFonts w:cstheme="minorHAnsi"/>
        </w:rPr>
        <w:t xml:space="preserve"> refer to the following link: </w:t>
      </w:r>
      <w:hyperlink r:id="rId7" w:history="1">
        <w:r w:rsidRPr="00DC31B8">
          <w:rPr>
            <w:rStyle w:val="Hyperlink"/>
            <w:rFonts w:cstheme="minorHAnsi"/>
          </w:rPr>
          <w:t>http://www.philosophypages.com/dy/</w:t>
        </w:r>
      </w:hyperlink>
    </w:p>
    <w:p w14:paraId="726AEF70" w14:textId="77777777" w:rsidR="00994968" w:rsidRDefault="00994968" w:rsidP="00994968">
      <w:pPr>
        <w:ind w:left="360" w:right="926"/>
        <w:rPr>
          <w:rStyle w:val="Hyperlink"/>
          <w:rFonts w:cstheme="minorHAnsi"/>
        </w:rPr>
      </w:pPr>
    </w:p>
    <w:p w14:paraId="0B708B09" w14:textId="77777777" w:rsidR="00994968" w:rsidRDefault="00994968" w:rsidP="00994968">
      <w:pPr>
        <w:ind w:left="360" w:right="926"/>
        <w:rPr>
          <w:rStyle w:val="Hyperlink"/>
          <w:rFonts w:cstheme="minorHAnsi"/>
        </w:rPr>
      </w:pPr>
    </w:p>
    <w:p w14:paraId="779288BF" w14:textId="77777777" w:rsidR="00994968" w:rsidRDefault="00994968" w:rsidP="00994968">
      <w:pPr>
        <w:ind w:left="360" w:right="926"/>
        <w:rPr>
          <w:rStyle w:val="Hyperlink"/>
          <w:rFonts w:cstheme="minorHAnsi"/>
        </w:rPr>
      </w:pPr>
    </w:p>
    <w:p w14:paraId="47BD65F6" w14:textId="77777777" w:rsidR="00994968" w:rsidRDefault="00994968" w:rsidP="00994968">
      <w:pPr>
        <w:ind w:left="360" w:right="926"/>
        <w:rPr>
          <w:rFonts w:cstheme="minorHAnsi"/>
        </w:rPr>
      </w:pPr>
    </w:p>
    <w:p w14:paraId="3EA4C8A8" w14:textId="0A745076" w:rsidR="000E5F3F" w:rsidRPr="00FC7C3E" w:rsidRDefault="002B0B48" w:rsidP="00994968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Activity 2</w:t>
      </w:r>
      <w:r w:rsidR="00994968">
        <w:rPr>
          <w:rFonts w:cstheme="minorHAnsi"/>
          <w:b/>
          <w:bCs/>
        </w:rPr>
        <w:t xml:space="preserve"> </w:t>
      </w:r>
      <w:r w:rsidR="00994968" w:rsidRPr="00994968">
        <w:rPr>
          <w:rFonts w:cstheme="minorHAnsi"/>
          <w:bCs/>
        </w:rPr>
        <w:t xml:space="preserve">- </w:t>
      </w:r>
      <w:r w:rsidR="000E5F3F" w:rsidRPr="00994968">
        <w:rPr>
          <w:rFonts w:cstheme="minorHAnsi"/>
          <w:bCs/>
        </w:rPr>
        <w:t xml:space="preserve">The </w:t>
      </w:r>
      <w:r w:rsidR="00994968">
        <w:rPr>
          <w:rFonts w:cstheme="minorHAnsi"/>
          <w:bCs/>
        </w:rPr>
        <w:t>p</w:t>
      </w:r>
      <w:r w:rsidR="000E5F3F" w:rsidRPr="00994968">
        <w:rPr>
          <w:rFonts w:cstheme="minorHAnsi"/>
          <w:bCs/>
        </w:rPr>
        <w:t xml:space="preserve">roblem of </w:t>
      </w:r>
      <w:r w:rsidR="00994968">
        <w:rPr>
          <w:rFonts w:cstheme="minorHAnsi"/>
          <w:bCs/>
        </w:rPr>
        <w:t>e</w:t>
      </w:r>
      <w:r w:rsidR="000E5F3F" w:rsidRPr="00994968">
        <w:rPr>
          <w:rFonts w:cstheme="minorHAnsi"/>
          <w:bCs/>
        </w:rPr>
        <w:t xml:space="preserve">vil and </w:t>
      </w:r>
      <w:r w:rsidR="00994968">
        <w:rPr>
          <w:rFonts w:cstheme="minorHAnsi"/>
          <w:bCs/>
        </w:rPr>
        <w:t>s</w:t>
      </w:r>
      <w:r w:rsidR="000E5F3F" w:rsidRPr="00994968">
        <w:rPr>
          <w:rFonts w:cstheme="minorHAnsi"/>
          <w:bCs/>
        </w:rPr>
        <w:t>uffering</w:t>
      </w:r>
    </w:p>
    <w:p w14:paraId="2B3F6C6D" w14:textId="77777777" w:rsidR="00994968" w:rsidRDefault="00910D89" w:rsidP="00994968">
      <w:pPr>
        <w:ind w:left="360" w:right="926"/>
        <w:rPr>
          <w:rFonts w:cstheme="minorHAnsi"/>
        </w:rPr>
      </w:pPr>
      <w:r>
        <w:rPr>
          <w:rFonts w:cstheme="minorHAnsi"/>
        </w:rPr>
        <w:t>The problem of evil and suffering is regarded as the single greatest challenge to faith in God</w:t>
      </w:r>
      <w:r w:rsidR="00394993">
        <w:rPr>
          <w:rFonts w:cstheme="minorHAnsi"/>
        </w:rPr>
        <w:t xml:space="preserve">. If God does exist, why would he allow evil to exist? Furthermore, why would he allow us to experience pain and suffering? </w:t>
      </w:r>
    </w:p>
    <w:p w14:paraId="58F36D3E" w14:textId="3B2F55DC" w:rsidR="00394993" w:rsidRDefault="00394993" w:rsidP="00994968">
      <w:pPr>
        <w:ind w:left="360" w:right="926"/>
        <w:rPr>
          <w:rFonts w:cstheme="minorHAnsi"/>
        </w:rPr>
      </w:pPr>
      <w:r>
        <w:rPr>
          <w:rFonts w:cstheme="minorHAnsi"/>
        </w:rPr>
        <w:t xml:space="preserve">We will investigate this subject in great depth but, for now, </w:t>
      </w:r>
      <w:r w:rsidR="00105703">
        <w:rPr>
          <w:rFonts w:cstheme="minorHAnsi"/>
        </w:rPr>
        <w:t xml:space="preserve">find </w:t>
      </w:r>
      <w:r>
        <w:rPr>
          <w:rFonts w:cstheme="minorHAnsi"/>
        </w:rPr>
        <w:t>definition</w:t>
      </w:r>
      <w:r w:rsidR="00105703">
        <w:rPr>
          <w:rFonts w:cstheme="minorHAnsi"/>
        </w:rPr>
        <w:t>s</w:t>
      </w:r>
      <w:r>
        <w:rPr>
          <w:rFonts w:cstheme="minorHAnsi"/>
        </w:rPr>
        <w:t xml:space="preserve"> of the following concepts: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1702"/>
        <w:gridCol w:w="7478"/>
      </w:tblGrid>
      <w:tr w:rsidR="00994968" w:rsidRPr="00105703" w14:paraId="72BBFE70" w14:textId="77777777" w:rsidTr="00994968">
        <w:tc>
          <w:tcPr>
            <w:tcW w:w="1702" w:type="dxa"/>
          </w:tcPr>
          <w:p w14:paraId="145ED3D1" w14:textId="33DB22DB" w:rsidR="00394993" w:rsidRPr="00994968" w:rsidRDefault="00394993" w:rsidP="00994968">
            <w:pPr>
              <w:spacing w:line="480" w:lineRule="auto"/>
              <w:ind w:left="147" w:right="20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Moral Evil</w:t>
            </w:r>
          </w:p>
        </w:tc>
        <w:tc>
          <w:tcPr>
            <w:tcW w:w="7478" w:type="dxa"/>
          </w:tcPr>
          <w:p w14:paraId="706E7960" w14:textId="77777777" w:rsidR="00394993" w:rsidRDefault="00394993" w:rsidP="00994968">
            <w:pPr>
              <w:spacing w:line="480" w:lineRule="auto"/>
              <w:ind w:left="78" w:right="156"/>
              <w:rPr>
                <w:rFonts w:cstheme="minorHAnsi"/>
                <w:sz w:val="20"/>
                <w:szCs w:val="20"/>
              </w:rPr>
            </w:pPr>
          </w:p>
          <w:p w14:paraId="14F0BE2A" w14:textId="77777777" w:rsidR="00994968" w:rsidRPr="00105703" w:rsidRDefault="00994968" w:rsidP="00994968">
            <w:pPr>
              <w:spacing w:line="480" w:lineRule="auto"/>
              <w:ind w:left="78" w:right="156"/>
              <w:rPr>
                <w:rFonts w:cstheme="minorHAnsi"/>
                <w:sz w:val="20"/>
                <w:szCs w:val="20"/>
              </w:rPr>
            </w:pPr>
          </w:p>
        </w:tc>
      </w:tr>
      <w:tr w:rsidR="00994968" w:rsidRPr="00105703" w14:paraId="197BA1FC" w14:textId="77777777" w:rsidTr="00994968">
        <w:tc>
          <w:tcPr>
            <w:tcW w:w="1702" w:type="dxa"/>
          </w:tcPr>
          <w:p w14:paraId="311CFCD5" w14:textId="111BFA88" w:rsidR="00394993" w:rsidRPr="00994968" w:rsidRDefault="00394993" w:rsidP="00994968">
            <w:pPr>
              <w:spacing w:line="480" w:lineRule="auto"/>
              <w:ind w:left="147" w:right="20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b/>
                <w:color w:val="000000" w:themeColor="text1"/>
                <w:sz w:val="20"/>
                <w:szCs w:val="20"/>
              </w:rPr>
              <w:t>Natural Evil</w:t>
            </w:r>
          </w:p>
        </w:tc>
        <w:tc>
          <w:tcPr>
            <w:tcW w:w="7478" w:type="dxa"/>
          </w:tcPr>
          <w:p w14:paraId="59335DEC" w14:textId="77777777" w:rsidR="00394993" w:rsidRDefault="00394993" w:rsidP="00994968">
            <w:pPr>
              <w:spacing w:line="480" w:lineRule="auto"/>
              <w:ind w:left="78" w:right="156"/>
              <w:rPr>
                <w:rFonts w:cstheme="minorHAnsi"/>
                <w:sz w:val="20"/>
                <w:szCs w:val="20"/>
              </w:rPr>
            </w:pPr>
          </w:p>
          <w:p w14:paraId="401C51D1" w14:textId="77777777" w:rsidR="00994968" w:rsidRPr="00105703" w:rsidRDefault="00994968" w:rsidP="00994968">
            <w:pPr>
              <w:spacing w:line="480" w:lineRule="auto"/>
              <w:ind w:left="78" w:right="156"/>
              <w:rPr>
                <w:rFonts w:cstheme="minorHAnsi"/>
                <w:sz w:val="20"/>
                <w:szCs w:val="20"/>
              </w:rPr>
            </w:pPr>
          </w:p>
        </w:tc>
      </w:tr>
    </w:tbl>
    <w:p w14:paraId="1B16B705" w14:textId="77777777" w:rsidR="00105703" w:rsidRDefault="00105703" w:rsidP="00994968">
      <w:pPr>
        <w:ind w:left="360" w:right="926"/>
        <w:rPr>
          <w:rFonts w:cstheme="minorHAnsi"/>
          <w:sz w:val="24"/>
          <w:szCs w:val="24"/>
        </w:rPr>
      </w:pPr>
    </w:p>
    <w:p w14:paraId="22BA419D" w14:textId="003F651D" w:rsidR="008F13C9" w:rsidRPr="00994968" w:rsidRDefault="00394993" w:rsidP="00994968">
      <w:pPr>
        <w:ind w:left="360" w:right="926"/>
        <w:rPr>
          <w:rFonts w:cstheme="minorHAnsi"/>
        </w:rPr>
      </w:pPr>
      <w:r w:rsidRPr="00994968">
        <w:rPr>
          <w:rFonts w:cstheme="minorHAnsi"/>
        </w:rPr>
        <w:t>Now complete the following table outlining three examples of both Natural and Moral Evil: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720"/>
        <w:gridCol w:w="4230"/>
        <w:gridCol w:w="4230"/>
      </w:tblGrid>
      <w:tr w:rsidR="00994968" w:rsidRPr="00105703" w14:paraId="7D18111B" w14:textId="77777777" w:rsidTr="00994968">
        <w:tc>
          <w:tcPr>
            <w:tcW w:w="720" w:type="dxa"/>
          </w:tcPr>
          <w:p w14:paraId="7A707F8A" w14:textId="77777777" w:rsidR="00394993" w:rsidRPr="00105703" w:rsidRDefault="00394993" w:rsidP="00994968">
            <w:pPr>
              <w:ind w:left="360" w:right="926"/>
              <w:rPr>
                <w:rFonts w:cs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4230" w:type="dxa"/>
          </w:tcPr>
          <w:p w14:paraId="48D9B8AF" w14:textId="23EA196B" w:rsidR="00394993" w:rsidRPr="00994968" w:rsidRDefault="00394993" w:rsidP="00994968">
            <w:pPr>
              <w:ind w:left="74" w:right="160"/>
              <w:rPr>
                <w:rFonts w:cstheme="minorHAnsi"/>
                <w:b/>
                <w:sz w:val="20"/>
                <w:szCs w:val="20"/>
              </w:rPr>
            </w:pPr>
            <w:r w:rsidRPr="00994968">
              <w:rPr>
                <w:rFonts w:cstheme="minorHAnsi"/>
                <w:b/>
                <w:sz w:val="20"/>
                <w:szCs w:val="20"/>
              </w:rPr>
              <w:t>Moral Evil</w:t>
            </w:r>
          </w:p>
        </w:tc>
        <w:tc>
          <w:tcPr>
            <w:tcW w:w="4230" w:type="dxa"/>
          </w:tcPr>
          <w:p w14:paraId="638EEC9C" w14:textId="54E62A76" w:rsidR="00394993" w:rsidRPr="00994968" w:rsidRDefault="00394993" w:rsidP="00994968">
            <w:pPr>
              <w:ind w:left="74" w:right="160"/>
              <w:rPr>
                <w:rFonts w:cstheme="minorHAnsi"/>
                <w:b/>
                <w:sz w:val="20"/>
                <w:szCs w:val="20"/>
              </w:rPr>
            </w:pPr>
            <w:r w:rsidRPr="00994968">
              <w:rPr>
                <w:rFonts w:cstheme="minorHAnsi"/>
                <w:b/>
                <w:sz w:val="20"/>
                <w:szCs w:val="20"/>
              </w:rPr>
              <w:t>Natural Evil</w:t>
            </w:r>
          </w:p>
        </w:tc>
      </w:tr>
      <w:tr w:rsidR="00994968" w:rsidRPr="00105703" w14:paraId="5E445688" w14:textId="77777777" w:rsidTr="00994968">
        <w:tc>
          <w:tcPr>
            <w:tcW w:w="720" w:type="dxa"/>
          </w:tcPr>
          <w:p w14:paraId="1F55435A" w14:textId="1F55A4AD" w:rsidR="00394993" w:rsidRPr="00994968" w:rsidRDefault="00394993" w:rsidP="00994968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22A6FEED" w14:textId="77777777" w:rsidR="00394993" w:rsidRDefault="00394993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107D3217" w14:textId="77777777" w:rsidR="00994968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2505A7FE" w14:textId="77777777" w:rsidR="00994968" w:rsidRPr="00105703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50A7C02" w14:textId="77777777" w:rsidR="00394993" w:rsidRPr="00105703" w:rsidRDefault="00394993" w:rsidP="00994968">
            <w:pPr>
              <w:spacing w:line="480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94968" w:rsidRPr="00105703" w14:paraId="26909F11" w14:textId="77777777" w:rsidTr="00994968">
        <w:tc>
          <w:tcPr>
            <w:tcW w:w="720" w:type="dxa"/>
          </w:tcPr>
          <w:p w14:paraId="7EB87845" w14:textId="339B5658" w:rsidR="00394993" w:rsidRPr="00994968" w:rsidRDefault="00394993" w:rsidP="00994968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7B8E9BEB" w14:textId="77777777" w:rsidR="00394993" w:rsidRDefault="00394993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2DF74977" w14:textId="77777777" w:rsidR="00994968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05EAD93E" w14:textId="77777777" w:rsidR="00994968" w:rsidRPr="00105703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D9CE1D6" w14:textId="77777777" w:rsidR="00394993" w:rsidRPr="00105703" w:rsidRDefault="00394993" w:rsidP="00994968">
            <w:pPr>
              <w:spacing w:line="480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94968" w:rsidRPr="00105703" w14:paraId="5B970B7B" w14:textId="77777777" w:rsidTr="00994968">
        <w:tc>
          <w:tcPr>
            <w:tcW w:w="720" w:type="dxa"/>
          </w:tcPr>
          <w:p w14:paraId="15331E3A" w14:textId="694C2B1C" w:rsidR="00394993" w:rsidRPr="00994968" w:rsidRDefault="00394993" w:rsidP="00994968">
            <w:pPr>
              <w:spacing w:line="480" w:lineRule="auto"/>
              <w:ind w:left="73" w:right="14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96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14:paraId="29006DB3" w14:textId="77777777" w:rsidR="00394993" w:rsidRDefault="00394993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02CA1B0C" w14:textId="77777777" w:rsidR="00994968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651B62BF" w14:textId="77777777" w:rsidR="00994968" w:rsidRPr="00105703" w:rsidRDefault="00994968" w:rsidP="00994968">
            <w:pPr>
              <w:spacing w:line="480" w:lineRule="auto"/>
              <w:ind w:left="74" w:right="16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A824C2" w14:textId="77777777" w:rsidR="00394993" w:rsidRPr="00105703" w:rsidRDefault="00394993" w:rsidP="00994968">
            <w:pPr>
              <w:spacing w:line="480" w:lineRule="auto"/>
              <w:ind w:left="78" w:right="156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bookmarkEnd w:id="0"/>
    </w:tbl>
    <w:p w14:paraId="06413EB1" w14:textId="77777777" w:rsidR="00394993" w:rsidRDefault="00394993" w:rsidP="00994968">
      <w:pPr>
        <w:ind w:left="360" w:right="926"/>
        <w:rPr>
          <w:rFonts w:cstheme="minorHAnsi"/>
          <w:sz w:val="24"/>
          <w:szCs w:val="24"/>
        </w:rPr>
      </w:pPr>
    </w:p>
    <w:p w14:paraId="58041A4E" w14:textId="77777777" w:rsidR="00994968" w:rsidRPr="00BB3AEF" w:rsidRDefault="001E4862" w:rsidP="00994968">
      <w:pPr>
        <w:ind w:left="360" w:right="926"/>
        <w:rPr>
          <w:rFonts w:cstheme="minorHAnsi"/>
        </w:rPr>
      </w:pPr>
      <w:r>
        <w:rPr>
          <w:rFonts w:cstheme="minorHAnsi"/>
        </w:rPr>
        <w:t>To help complet</w:t>
      </w:r>
      <w:r w:rsidR="009B3DDB">
        <w:rPr>
          <w:rFonts w:cstheme="minorHAnsi"/>
        </w:rPr>
        <w:t>e</w:t>
      </w:r>
      <w:r>
        <w:rPr>
          <w:rFonts w:cstheme="minorHAnsi"/>
        </w:rPr>
        <w:t xml:space="preserve"> th</w:t>
      </w:r>
      <w:r w:rsidR="009B3DDB">
        <w:rPr>
          <w:rFonts w:cstheme="minorHAnsi"/>
        </w:rPr>
        <w:t>ese</w:t>
      </w:r>
      <w:r>
        <w:rPr>
          <w:rFonts w:cstheme="minorHAnsi"/>
        </w:rPr>
        <w:t xml:space="preserve"> task</w:t>
      </w:r>
      <w:r w:rsidR="009B3DDB">
        <w:rPr>
          <w:rFonts w:cstheme="minorHAnsi"/>
        </w:rPr>
        <w:t>s,</w:t>
      </w:r>
      <w:r>
        <w:rPr>
          <w:rFonts w:cstheme="minorHAnsi"/>
        </w:rPr>
        <w:t xml:space="preserve"> you may wish to</w:t>
      </w:r>
      <w:r w:rsidR="009B3DDB">
        <w:rPr>
          <w:rFonts w:cstheme="minorHAnsi"/>
        </w:rPr>
        <w:t xml:space="preserve"> watch this video</w:t>
      </w:r>
      <w:r>
        <w:rPr>
          <w:rFonts w:cstheme="minorHAnsi"/>
        </w:rPr>
        <w:t xml:space="preserve">: </w:t>
      </w:r>
      <w:hyperlink r:id="rId8" w:history="1">
        <w:r w:rsidRPr="00DC31B8">
          <w:rPr>
            <w:rStyle w:val="Hyperlink"/>
            <w:rFonts w:cstheme="minorHAnsi"/>
          </w:rPr>
          <w:t>https://www.youtube.com/watch?v=9AzNEG1GB-k</w:t>
        </w:r>
      </w:hyperlink>
    </w:p>
    <w:p w14:paraId="3071F8A8" w14:textId="77777777" w:rsidR="00994968" w:rsidRDefault="00994968" w:rsidP="00994968">
      <w:pPr>
        <w:ind w:left="360" w:right="926"/>
        <w:rPr>
          <w:rFonts w:cstheme="minorHAnsi"/>
        </w:rPr>
      </w:pPr>
    </w:p>
    <w:p w14:paraId="4E265458" w14:textId="77777777" w:rsidR="00994968" w:rsidRDefault="00994968" w:rsidP="00994968">
      <w:pPr>
        <w:ind w:left="360" w:right="926"/>
        <w:rPr>
          <w:rFonts w:cstheme="minorHAnsi"/>
        </w:rPr>
      </w:pPr>
    </w:p>
    <w:p w14:paraId="1E7C5368" w14:textId="77777777" w:rsidR="00994968" w:rsidRDefault="00994968" w:rsidP="00994968">
      <w:pPr>
        <w:ind w:left="360" w:right="926"/>
        <w:rPr>
          <w:rFonts w:cstheme="minorHAnsi"/>
        </w:rPr>
      </w:pPr>
    </w:p>
    <w:p w14:paraId="22989188" w14:textId="77777777" w:rsidR="00994968" w:rsidRDefault="00994968" w:rsidP="00994968">
      <w:pPr>
        <w:ind w:left="360" w:right="926"/>
        <w:rPr>
          <w:rFonts w:cstheme="minorHAnsi"/>
        </w:rPr>
      </w:pPr>
    </w:p>
    <w:p w14:paraId="5213C33B" w14:textId="77777777" w:rsidR="00994968" w:rsidRDefault="00994968" w:rsidP="00994968">
      <w:pPr>
        <w:ind w:left="360" w:right="926"/>
        <w:rPr>
          <w:rFonts w:cstheme="minorHAnsi"/>
        </w:rPr>
      </w:pPr>
    </w:p>
    <w:p w14:paraId="5B358A72" w14:textId="77777777" w:rsidR="00994968" w:rsidRDefault="00994968" w:rsidP="00994968">
      <w:pPr>
        <w:ind w:left="360" w:right="926"/>
        <w:rPr>
          <w:rFonts w:cstheme="minorHAnsi"/>
        </w:rPr>
      </w:pPr>
    </w:p>
    <w:p w14:paraId="300D135A" w14:textId="77777777" w:rsidR="00994968" w:rsidRDefault="00994968" w:rsidP="00994968">
      <w:pPr>
        <w:ind w:left="360" w:right="926"/>
        <w:rPr>
          <w:rFonts w:cstheme="minorHAnsi"/>
        </w:rPr>
      </w:pPr>
    </w:p>
    <w:p w14:paraId="00AC38AB" w14:textId="77777777" w:rsidR="00994968" w:rsidRDefault="00994968" w:rsidP="00994968">
      <w:pPr>
        <w:ind w:left="360" w:right="926"/>
        <w:rPr>
          <w:rFonts w:cstheme="minorHAnsi"/>
        </w:rPr>
      </w:pPr>
    </w:p>
    <w:p w14:paraId="6A06AAD8" w14:textId="77777777" w:rsidR="00994968" w:rsidRDefault="00994968" w:rsidP="00994968">
      <w:pPr>
        <w:ind w:left="360" w:right="926"/>
        <w:rPr>
          <w:rFonts w:cstheme="minorHAnsi"/>
        </w:rPr>
      </w:pPr>
    </w:p>
    <w:p w14:paraId="1CD51F8D" w14:textId="77777777" w:rsidR="00994968" w:rsidRDefault="00994968" w:rsidP="00994968">
      <w:pPr>
        <w:ind w:left="360" w:right="926"/>
        <w:rPr>
          <w:rFonts w:cstheme="minorHAnsi"/>
        </w:rPr>
      </w:pPr>
    </w:p>
    <w:p w14:paraId="37282590" w14:textId="77777777" w:rsidR="00994968" w:rsidRPr="00FC7C3E" w:rsidRDefault="00994968" w:rsidP="00994968">
      <w:pPr>
        <w:ind w:left="360" w:right="926"/>
        <w:rPr>
          <w:rFonts w:cstheme="minorHAnsi"/>
        </w:rPr>
      </w:pPr>
    </w:p>
    <w:p w14:paraId="2F7E96F3" w14:textId="77777777" w:rsidR="00994968" w:rsidRPr="00FC7C3E" w:rsidRDefault="00994968" w:rsidP="00994968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03BB00DE" w14:textId="1A35C7C7" w:rsidR="00994968" w:rsidRDefault="00994968" w:rsidP="00994968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How is the subject assessed?</w:t>
      </w:r>
      <w:r>
        <w:rPr>
          <w:rStyle w:val="Hyperlink"/>
          <w:rFonts w:cstheme="minorHAnsi"/>
        </w:rPr>
        <w:br/>
      </w:r>
      <w:r w:rsidR="00FC7C3E">
        <w:rPr>
          <w:rFonts w:cstheme="minorHAnsi"/>
        </w:rPr>
        <w:t xml:space="preserve">A Level </w:t>
      </w:r>
      <w:r w:rsidR="008F13C9">
        <w:rPr>
          <w:rFonts w:cstheme="minorHAnsi"/>
        </w:rPr>
        <w:t>Religious Studies</w:t>
      </w:r>
      <w:r w:rsidR="00FC7C3E">
        <w:rPr>
          <w:rFonts w:cstheme="minorHAnsi"/>
        </w:rPr>
        <w:t xml:space="preserve"> is assessed via </w:t>
      </w:r>
      <w:r w:rsidR="00FC7C3E" w:rsidRPr="008F13C9">
        <w:rPr>
          <w:rFonts w:cstheme="minorHAnsi"/>
          <w:b/>
          <w:bCs/>
        </w:rPr>
        <w:t>two</w:t>
      </w:r>
      <w:r w:rsidR="00FC7C3E">
        <w:rPr>
          <w:rFonts w:cstheme="minorHAnsi"/>
        </w:rPr>
        <w:t xml:space="preserve"> </w:t>
      </w:r>
      <w:r w:rsidR="008F13C9">
        <w:rPr>
          <w:rFonts w:cstheme="minorHAnsi"/>
        </w:rPr>
        <w:t>three-</w:t>
      </w:r>
      <w:r w:rsidR="00FC7C3E">
        <w:rPr>
          <w:rFonts w:cstheme="minorHAnsi"/>
        </w:rPr>
        <w:t xml:space="preserve">hour exams. Throughout the </w:t>
      </w:r>
      <w:proofErr w:type="gramStart"/>
      <w:r w:rsidR="00FC7C3E">
        <w:rPr>
          <w:rFonts w:cstheme="minorHAnsi"/>
        </w:rPr>
        <w:t>course</w:t>
      </w:r>
      <w:proofErr w:type="gramEnd"/>
      <w:r w:rsidR="00FC7C3E">
        <w:rPr>
          <w:rFonts w:cstheme="minorHAnsi"/>
        </w:rPr>
        <w:t xml:space="preserve"> we will thoroughly prepare you for the exams with skills development, exemplar answers and practice questions. </w:t>
      </w:r>
    </w:p>
    <w:p w14:paraId="1C3DD531" w14:textId="77777777" w:rsidR="00994968" w:rsidRPr="00994968" w:rsidRDefault="00994968" w:rsidP="00994968">
      <w:pPr>
        <w:ind w:left="360" w:right="926"/>
        <w:rPr>
          <w:rFonts w:cstheme="minorHAnsi"/>
        </w:rPr>
      </w:pPr>
    </w:p>
    <w:p w14:paraId="3089A886" w14:textId="47627816" w:rsidR="000E5F3F" w:rsidRPr="00994968" w:rsidRDefault="003A630C" w:rsidP="00994968">
      <w:pPr>
        <w:ind w:left="360" w:right="926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What extra-curricular opportunities are there?</w:t>
      </w:r>
      <w:r w:rsidR="0099496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br/>
      </w:r>
      <w:r w:rsidR="000E5F3F">
        <w:rPr>
          <w:rFonts w:cs="Arial"/>
          <w:lang w:eastAsia="en-GB"/>
        </w:rPr>
        <w:t xml:space="preserve">We aim </w:t>
      </w:r>
      <w:r w:rsidR="000E5F3F" w:rsidRPr="005D57BC">
        <w:rPr>
          <w:rFonts w:cs="Arial"/>
          <w:lang w:eastAsia="en-GB"/>
        </w:rPr>
        <w:t>to stretch and challenge students, developing their wider knowledge and understanding of the role and influence</w:t>
      </w:r>
      <w:r w:rsidR="000E5F3F">
        <w:rPr>
          <w:rFonts w:cs="Arial"/>
          <w:lang w:eastAsia="en-GB"/>
        </w:rPr>
        <w:t xml:space="preserve"> of religion in modern society. </w:t>
      </w:r>
      <w:r w:rsidR="000E5F3F" w:rsidRPr="005D57BC">
        <w:rPr>
          <w:rFonts w:cs="Arial"/>
          <w:lang w:eastAsia="en-GB"/>
        </w:rPr>
        <w:t>There will be opportunities to participate in educational visits to a variety of locations</w:t>
      </w:r>
      <w:r w:rsidR="000E5F3F">
        <w:rPr>
          <w:rFonts w:cs="Arial"/>
          <w:lang w:eastAsia="en-GB"/>
        </w:rPr>
        <w:t>. In the past, this has</w:t>
      </w:r>
      <w:r w:rsidR="000E5F3F" w:rsidRPr="005D57BC">
        <w:rPr>
          <w:rFonts w:cs="Arial"/>
          <w:lang w:eastAsia="en-GB"/>
        </w:rPr>
        <w:t xml:space="preserve"> includ</w:t>
      </w:r>
      <w:r w:rsidR="000E5F3F">
        <w:rPr>
          <w:rFonts w:cs="Arial"/>
          <w:lang w:eastAsia="en-GB"/>
        </w:rPr>
        <w:t>ed</w:t>
      </w:r>
      <w:r w:rsidR="000E5F3F" w:rsidRPr="005D57BC">
        <w:rPr>
          <w:rFonts w:cs="Arial"/>
          <w:lang w:eastAsia="en-GB"/>
        </w:rPr>
        <w:t xml:space="preserve"> a visit to the Theology and Religion </w:t>
      </w:r>
      <w:r w:rsidR="00DD13FA">
        <w:rPr>
          <w:rFonts w:cs="Arial"/>
          <w:lang w:eastAsia="en-GB"/>
        </w:rPr>
        <w:t>D</w:t>
      </w:r>
      <w:r w:rsidR="000E5F3F" w:rsidRPr="005D57BC">
        <w:rPr>
          <w:rFonts w:cs="Arial"/>
          <w:lang w:eastAsia="en-GB"/>
        </w:rPr>
        <w:t xml:space="preserve">epartment at Exeter University, as well as Exeter Islamic Centre. Furthermore, our students have </w:t>
      </w:r>
      <w:r w:rsidR="000E5F3F">
        <w:rPr>
          <w:rFonts w:cs="Arial"/>
          <w:lang w:eastAsia="en-GB"/>
        </w:rPr>
        <w:t xml:space="preserve">also </w:t>
      </w:r>
      <w:r w:rsidR="000E5F3F" w:rsidRPr="005D57BC">
        <w:rPr>
          <w:rFonts w:cs="Arial"/>
          <w:lang w:eastAsia="en-GB"/>
        </w:rPr>
        <w:t>benefitted from talks by acknowledged experts in the field</w:t>
      </w:r>
      <w:r w:rsidR="000E5F3F">
        <w:rPr>
          <w:rFonts w:cs="Arial"/>
          <w:lang w:eastAsia="en-GB"/>
        </w:rPr>
        <w:t xml:space="preserve"> of religion and ethics</w:t>
      </w:r>
      <w:r w:rsidR="00DD13FA">
        <w:rPr>
          <w:rFonts w:cs="Arial"/>
          <w:lang w:eastAsia="en-GB"/>
        </w:rPr>
        <w:t>,</w:t>
      </w:r>
      <w:r w:rsidR="000E5F3F" w:rsidRPr="005D57BC">
        <w:rPr>
          <w:rFonts w:cs="Arial"/>
          <w:lang w:eastAsia="en-GB"/>
        </w:rPr>
        <w:t xml:space="preserve"> such as Professor A.C. Grayling.</w:t>
      </w:r>
    </w:p>
    <w:p w14:paraId="27A5B96A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332058EF" w14:textId="0B287F9D" w:rsidR="00994968" w:rsidRDefault="00FC7C3E" w:rsidP="00994968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 xml:space="preserve">What other subjects </w:t>
      </w:r>
      <w:r w:rsidR="003A630C">
        <w:rPr>
          <w:rFonts w:cstheme="minorHAnsi"/>
          <w:b/>
          <w:bCs/>
        </w:rPr>
        <w:t>complement</w:t>
      </w:r>
      <w:r>
        <w:rPr>
          <w:rFonts w:cstheme="minorHAnsi"/>
          <w:b/>
          <w:bCs/>
        </w:rPr>
        <w:t xml:space="preserve"> A Level </w:t>
      </w:r>
      <w:r w:rsidR="003A630C">
        <w:rPr>
          <w:rFonts w:cstheme="minorHAnsi"/>
          <w:b/>
          <w:bCs/>
        </w:rPr>
        <w:t>Religious Studies</w:t>
      </w:r>
      <w:r>
        <w:rPr>
          <w:rFonts w:cstheme="minorHAnsi"/>
          <w:b/>
          <w:bCs/>
        </w:rPr>
        <w:t xml:space="preserve">? </w:t>
      </w:r>
      <w:r w:rsidR="00994968"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A Level </w:t>
      </w:r>
      <w:r w:rsidR="003A630C">
        <w:rPr>
          <w:rFonts w:cstheme="minorHAnsi"/>
        </w:rPr>
        <w:t>Religious Studies</w:t>
      </w:r>
      <w:r w:rsidR="008D5B2E">
        <w:rPr>
          <w:rFonts w:cstheme="minorHAnsi"/>
        </w:rPr>
        <w:t xml:space="preserve"> is a versatile subject the compliments study of many other </w:t>
      </w:r>
      <w:r w:rsidR="00DD13FA">
        <w:rPr>
          <w:rFonts w:cstheme="minorHAnsi"/>
        </w:rPr>
        <w:t>subjects</w:t>
      </w:r>
      <w:r w:rsidR="008D5B2E">
        <w:rPr>
          <w:rFonts w:cstheme="minorHAnsi"/>
        </w:rPr>
        <w:t xml:space="preserve">. </w:t>
      </w:r>
      <w:r w:rsidR="003A630C">
        <w:rPr>
          <w:rFonts w:cstheme="minorHAnsi"/>
        </w:rPr>
        <w:t xml:space="preserve">We directly study aspects of Sociology, Psychology, and Languages so an interest in these subjects (including English) is very useful. Religious Studies also supports the study of religion in Early Modern </w:t>
      </w:r>
    </w:p>
    <w:p w14:paraId="2C6715BA" w14:textId="441359D2" w:rsidR="002B0B48" w:rsidRDefault="003A630C" w:rsidP="00994968">
      <w:pPr>
        <w:ind w:left="360" w:right="926"/>
        <w:rPr>
          <w:rFonts w:cstheme="minorHAnsi"/>
        </w:rPr>
      </w:pPr>
      <w:r>
        <w:rPr>
          <w:rFonts w:cstheme="minorHAnsi"/>
        </w:rPr>
        <w:t>History, as well as providing a strong ethical framework for those who may wish to work in the medical field in the future.</w:t>
      </w:r>
    </w:p>
    <w:p w14:paraId="7B00A06A" w14:textId="77777777" w:rsidR="00994968" w:rsidRPr="00994968" w:rsidRDefault="00994968" w:rsidP="00994968">
      <w:pPr>
        <w:ind w:left="360" w:right="926"/>
        <w:rPr>
          <w:rFonts w:cstheme="minorHAnsi"/>
          <w:b/>
          <w:bCs/>
        </w:rPr>
      </w:pPr>
    </w:p>
    <w:p w14:paraId="29554D62" w14:textId="24015DA2" w:rsidR="00DD13FA" w:rsidRPr="00DD13FA" w:rsidRDefault="00DD13FA" w:rsidP="00994968">
      <w:pPr>
        <w:ind w:left="360" w:right="926"/>
        <w:rPr>
          <w:rFonts w:cstheme="minorHAnsi"/>
          <w:b/>
          <w:bCs/>
        </w:rPr>
      </w:pPr>
      <w:r w:rsidRPr="00DD13FA">
        <w:rPr>
          <w:rFonts w:cstheme="minorHAnsi"/>
          <w:b/>
          <w:bCs/>
        </w:rPr>
        <w:t>What career pathways does studying Religious Studies lead to?</w:t>
      </w:r>
      <w:r w:rsidR="00994968">
        <w:rPr>
          <w:rFonts w:cstheme="minorHAnsi"/>
          <w:b/>
          <w:bCs/>
        </w:rPr>
        <w:br/>
      </w:r>
      <w:r w:rsidRPr="00DD13FA">
        <w:rPr>
          <w:rFonts w:eastAsia="Times New Roman" w:cstheme="minorHAnsi"/>
          <w:color w:val="000000"/>
          <w:lang w:eastAsia="en-GB"/>
        </w:rPr>
        <w:t xml:space="preserve">Theology and </w:t>
      </w:r>
      <w:r>
        <w:rPr>
          <w:rFonts w:eastAsia="Times New Roman" w:cstheme="minorHAnsi"/>
          <w:color w:val="000000"/>
          <w:lang w:eastAsia="en-GB"/>
        </w:rPr>
        <w:t>R</w:t>
      </w:r>
      <w:r w:rsidRPr="00DD13FA">
        <w:rPr>
          <w:rFonts w:eastAsia="Times New Roman" w:cstheme="minorHAnsi"/>
          <w:color w:val="000000"/>
          <w:lang w:eastAsia="en-GB"/>
        </w:rPr>
        <w:t xml:space="preserve">eligious </w:t>
      </w:r>
      <w:r>
        <w:rPr>
          <w:rFonts w:eastAsia="Times New Roman" w:cstheme="minorHAnsi"/>
          <w:color w:val="000000"/>
          <w:lang w:eastAsia="en-GB"/>
        </w:rPr>
        <w:t>S</w:t>
      </w:r>
      <w:r w:rsidRPr="00DD13FA">
        <w:rPr>
          <w:rFonts w:eastAsia="Times New Roman" w:cstheme="minorHAnsi"/>
          <w:color w:val="000000"/>
          <w:lang w:eastAsia="en-GB"/>
        </w:rPr>
        <w:t xml:space="preserve">tudies graduates are </w:t>
      </w:r>
      <w:r>
        <w:rPr>
          <w:rFonts w:eastAsia="Times New Roman" w:cstheme="minorHAnsi"/>
          <w:color w:val="000000"/>
          <w:lang w:eastAsia="en-GB"/>
        </w:rPr>
        <w:t>renowned</w:t>
      </w:r>
      <w:r w:rsidRPr="00DD13FA">
        <w:rPr>
          <w:rFonts w:eastAsia="Times New Roman" w:cstheme="minorHAnsi"/>
          <w:color w:val="000000"/>
          <w:lang w:eastAsia="en-GB"/>
        </w:rPr>
        <w:t xml:space="preserve"> as possessing a wide range of qualities which are highly valued by employers. </w:t>
      </w:r>
      <w:r>
        <w:rPr>
          <w:rFonts w:eastAsia="Times New Roman" w:cstheme="minorHAnsi"/>
          <w:color w:val="000000"/>
          <w:lang w:eastAsia="en-GB"/>
        </w:rPr>
        <w:t>These</w:t>
      </w:r>
      <w:r w:rsidRPr="00DD13FA">
        <w:rPr>
          <w:rFonts w:eastAsia="Times New Roman" w:cstheme="minorHAnsi"/>
          <w:color w:val="000000"/>
          <w:lang w:eastAsia="en-GB"/>
        </w:rPr>
        <w:t xml:space="preserve"> include the ability to </w:t>
      </w:r>
      <w:r>
        <w:rPr>
          <w:rFonts w:eastAsia="Times New Roman" w:cstheme="minorHAnsi"/>
          <w:color w:val="000000"/>
          <w:lang w:eastAsia="en-GB"/>
        </w:rPr>
        <w:t>read and synthesise complex information</w:t>
      </w:r>
      <w:r w:rsidRPr="00DD13FA">
        <w:rPr>
          <w:rFonts w:eastAsia="Times New Roman" w:cstheme="minorHAnsi"/>
          <w:color w:val="000000"/>
          <w:lang w:eastAsia="en-GB"/>
        </w:rPr>
        <w:t xml:space="preserve">, </w:t>
      </w:r>
      <w:r>
        <w:rPr>
          <w:rFonts w:eastAsia="Times New Roman" w:cstheme="minorHAnsi"/>
          <w:color w:val="000000"/>
          <w:lang w:eastAsia="en-GB"/>
        </w:rPr>
        <w:t>as well as the qualities of</w:t>
      </w:r>
      <w:r w:rsidRPr="00DD13FA">
        <w:rPr>
          <w:rFonts w:eastAsia="Times New Roman" w:cstheme="minorHAnsi"/>
          <w:color w:val="000000"/>
          <w:lang w:eastAsia="en-GB"/>
        </w:rPr>
        <w:t xml:space="preserve"> empathy and </w:t>
      </w:r>
      <w:r w:rsidR="00992FFC">
        <w:rPr>
          <w:rFonts w:eastAsia="Times New Roman" w:cstheme="minorHAnsi"/>
          <w:color w:val="000000"/>
          <w:lang w:eastAsia="en-GB"/>
        </w:rPr>
        <w:t>reason</w:t>
      </w:r>
      <w:r w:rsidRPr="00DD13FA">
        <w:rPr>
          <w:rFonts w:eastAsia="Times New Roman" w:cstheme="minorHAnsi"/>
          <w:color w:val="000000"/>
          <w:lang w:eastAsia="en-GB"/>
        </w:rPr>
        <w:t xml:space="preserve">. The assumption that all </w:t>
      </w:r>
      <w:r w:rsidR="00992FFC">
        <w:rPr>
          <w:rFonts w:eastAsia="Times New Roman" w:cstheme="minorHAnsi"/>
          <w:color w:val="000000"/>
          <w:lang w:eastAsia="en-GB"/>
        </w:rPr>
        <w:t>R</w:t>
      </w:r>
      <w:r w:rsidRPr="00DD13FA">
        <w:rPr>
          <w:rFonts w:eastAsia="Times New Roman" w:cstheme="minorHAnsi"/>
          <w:color w:val="000000"/>
          <w:lang w:eastAsia="en-GB"/>
        </w:rPr>
        <w:t xml:space="preserve">eligious </w:t>
      </w:r>
      <w:r w:rsidR="00992FFC">
        <w:rPr>
          <w:rFonts w:eastAsia="Times New Roman" w:cstheme="minorHAnsi"/>
          <w:color w:val="000000"/>
          <w:lang w:eastAsia="en-GB"/>
        </w:rPr>
        <w:t>S</w:t>
      </w:r>
      <w:r w:rsidRPr="00DD13FA">
        <w:rPr>
          <w:rFonts w:eastAsia="Times New Roman" w:cstheme="minorHAnsi"/>
          <w:color w:val="000000"/>
          <w:lang w:eastAsia="en-GB"/>
        </w:rPr>
        <w:t xml:space="preserve">tudies </w:t>
      </w:r>
      <w:r w:rsidR="00992FFC">
        <w:rPr>
          <w:rFonts w:eastAsia="Times New Roman" w:cstheme="minorHAnsi"/>
          <w:color w:val="000000"/>
          <w:lang w:eastAsia="en-GB"/>
        </w:rPr>
        <w:t>students</w:t>
      </w:r>
      <w:r w:rsidRPr="00DD13FA">
        <w:rPr>
          <w:rFonts w:eastAsia="Times New Roman" w:cstheme="minorHAnsi"/>
          <w:color w:val="000000"/>
          <w:lang w:eastAsia="en-GB"/>
        </w:rPr>
        <w:t xml:space="preserve"> go on to work as members of the clergy is an outdated stereotype. Instead, </w:t>
      </w:r>
      <w:r w:rsidR="00992FFC">
        <w:rPr>
          <w:rFonts w:eastAsia="Times New Roman" w:cstheme="minorHAnsi"/>
          <w:color w:val="000000"/>
          <w:lang w:eastAsia="en-GB"/>
        </w:rPr>
        <w:t>they</w:t>
      </w:r>
      <w:r w:rsidRPr="00DD13FA">
        <w:rPr>
          <w:rFonts w:eastAsia="Times New Roman" w:cstheme="minorHAnsi"/>
          <w:color w:val="000000"/>
          <w:lang w:eastAsia="en-GB"/>
        </w:rPr>
        <w:t xml:space="preserve"> find employment in a broad variety of professions such as teaching, law, finance, publishing, journalism, social work, and youth work.</w:t>
      </w:r>
    </w:p>
    <w:p w14:paraId="3FD507CA" w14:textId="77777777" w:rsidR="0075132F" w:rsidRDefault="0075132F" w:rsidP="00994968">
      <w:pPr>
        <w:ind w:left="360" w:right="926"/>
        <w:rPr>
          <w:rFonts w:cstheme="minorHAnsi"/>
          <w:b/>
          <w:bCs/>
        </w:rPr>
      </w:pPr>
    </w:p>
    <w:p w14:paraId="2BB4501A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7FEADEB3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03C1406D" w14:textId="5050B6DB" w:rsidR="0075132F" w:rsidRDefault="0075132F" w:rsidP="00994968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eastAsia="Times New Roman" w:cstheme="minorHAnsi"/>
          <w:b/>
          <w:bCs/>
          <w:lang w:eastAsia="en-GB"/>
        </w:rPr>
      </w:pPr>
      <w:r w:rsidRPr="0075132F">
        <w:rPr>
          <w:rFonts w:eastAsia="Times New Roman" w:cstheme="minorHAnsi"/>
          <w:b/>
          <w:bCs/>
          <w:lang w:eastAsia="en-GB"/>
        </w:rPr>
        <w:t>Recommended Listening</w:t>
      </w:r>
    </w:p>
    <w:p w14:paraId="2A86BAA2" w14:textId="71F78D31" w:rsidR="00636553" w:rsidRDefault="00636553" w:rsidP="00994968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‘In Our Time’ at </w:t>
      </w:r>
      <w:hyperlink r:id="rId9" w:history="1">
        <w:r w:rsidRPr="00CC1E3B">
          <w:rPr>
            <w:rStyle w:val="Hyperlink"/>
            <w:rFonts w:eastAsia="Times New Roman" w:cstheme="minorHAnsi"/>
            <w:lang w:eastAsia="en-GB"/>
          </w:rPr>
          <w:t>https://www.bbc.co.uk/programmes/p01gvqlg</w:t>
        </w:r>
      </w:hyperlink>
      <w:r w:rsidR="00994968">
        <w:rPr>
          <w:rFonts w:eastAsia="Times New Roman" w:cstheme="minorHAnsi"/>
          <w:lang w:eastAsia="en-GB"/>
        </w:rPr>
        <w:br/>
      </w:r>
      <w:r w:rsidRPr="00994968">
        <w:rPr>
          <w:rFonts w:eastAsia="Times New Roman" w:cstheme="minorHAnsi"/>
          <w:i/>
          <w:lang w:eastAsia="en-GB"/>
        </w:rPr>
        <w:t>Discussion of religious movements and the theories and individuals behind them</w:t>
      </w:r>
    </w:p>
    <w:p w14:paraId="4383D72F" w14:textId="2F552550" w:rsidR="0075132F" w:rsidRDefault="0075132F" w:rsidP="00994968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‘</w:t>
      </w:r>
      <w:r w:rsidRPr="0075132F">
        <w:rPr>
          <w:rFonts w:eastAsia="Times New Roman" w:cstheme="minorHAnsi"/>
          <w:lang w:eastAsia="en-GB"/>
        </w:rPr>
        <w:t>The Moral Maze</w:t>
      </w:r>
      <w:r>
        <w:rPr>
          <w:rFonts w:eastAsia="Times New Roman" w:cstheme="minorHAnsi"/>
          <w:lang w:eastAsia="en-GB"/>
        </w:rPr>
        <w:t>’</w:t>
      </w:r>
      <w:r w:rsidRPr="0075132F">
        <w:rPr>
          <w:rFonts w:eastAsia="Times New Roman" w:cstheme="minorHAnsi"/>
          <w:lang w:eastAsia="en-GB"/>
        </w:rPr>
        <w:t xml:space="preserve"> </w:t>
      </w:r>
      <w:r w:rsidR="00636553">
        <w:rPr>
          <w:rFonts w:eastAsia="Times New Roman" w:cstheme="minorHAnsi"/>
          <w:lang w:eastAsia="en-GB"/>
        </w:rPr>
        <w:t>at</w:t>
      </w:r>
      <w:r>
        <w:rPr>
          <w:rFonts w:eastAsia="Times New Roman" w:cstheme="minorHAnsi"/>
          <w:lang w:eastAsia="en-GB"/>
        </w:rPr>
        <w:t xml:space="preserve"> </w:t>
      </w:r>
      <w:hyperlink r:id="rId10" w:history="1">
        <w:r w:rsidRPr="00CC1E3B">
          <w:rPr>
            <w:rStyle w:val="Hyperlink"/>
            <w:rFonts w:eastAsia="Times New Roman" w:cstheme="minorHAnsi"/>
            <w:lang w:eastAsia="en-GB"/>
          </w:rPr>
          <w:t>https://www.bbc.co.uk/programmes/b006qk11/episodes/player</w:t>
        </w:r>
      </w:hyperlink>
      <w:r w:rsidR="00994968">
        <w:rPr>
          <w:rFonts w:eastAsia="Times New Roman" w:cstheme="minorHAnsi"/>
          <w:lang w:eastAsia="en-GB"/>
        </w:rPr>
        <w:br/>
      </w:r>
      <w:r w:rsidRPr="00994968">
        <w:rPr>
          <w:rFonts w:eastAsia="Times New Roman" w:cstheme="minorHAnsi"/>
          <w:i/>
          <w:lang w:eastAsia="en-GB"/>
        </w:rPr>
        <w:t>Live debate a</w:t>
      </w:r>
      <w:r w:rsidR="00994968" w:rsidRPr="00994968">
        <w:rPr>
          <w:rFonts w:eastAsia="Times New Roman" w:cstheme="minorHAnsi"/>
          <w:i/>
          <w:lang w:eastAsia="en-GB"/>
        </w:rPr>
        <w:t>bout contemporary moral issues</w:t>
      </w:r>
    </w:p>
    <w:p w14:paraId="2B5858DD" w14:textId="27612E16" w:rsidR="0075132F" w:rsidRDefault="0075132F" w:rsidP="00994968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‘Thought for the Day’ </w:t>
      </w:r>
      <w:r w:rsidR="00636553">
        <w:rPr>
          <w:rFonts w:eastAsia="Times New Roman" w:cstheme="minorHAnsi"/>
          <w:lang w:eastAsia="en-GB"/>
        </w:rPr>
        <w:t>at</w:t>
      </w:r>
      <w:r>
        <w:rPr>
          <w:rFonts w:eastAsia="Times New Roman" w:cstheme="minorHAnsi"/>
          <w:lang w:eastAsia="en-GB"/>
        </w:rPr>
        <w:t xml:space="preserve"> </w:t>
      </w:r>
      <w:hyperlink r:id="rId11" w:history="1">
        <w:r w:rsidRPr="00CC1E3B">
          <w:rPr>
            <w:rStyle w:val="Hyperlink"/>
            <w:rFonts w:eastAsia="Times New Roman" w:cstheme="minorHAnsi"/>
            <w:lang w:eastAsia="en-GB"/>
          </w:rPr>
          <w:t>https://www.bbc.co.uk/programmes/p00szxv6/episodes/downloads</w:t>
        </w:r>
      </w:hyperlink>
      <w:r w:rsidR="00994968">
        <w:rPr>
          <w:rFonts w:eastAsia="Times New Roman" w:cstheme="minorHAnsi"/>
          <w:lang w:eastAsia="en-GB"/>
        </w:rPr>
        <w:t xml:space="preserve"> </w:t>
      </w:r>
      <w:r w:rsidR="00636553" w:rsidRPr="00994968">
        <w:rPr>
          <w:rFonts w:eastAsia="Times New Roman" w:cstheme="minorHAnsi"/>
          <w:i/>
          <w:lang w:eastAsia="en-GB"/>
        </w:rPr>
        <w:t>Reflections from a faith perspective on issues and people in the news</w:t>
      </w:r>
    </w:p>
    <w:p w14:paraId="63BB0B1E" w14:textId="77777777" w:rsidR="0075132F" w:rsidRPr="00636553" w:rsidRDefault="0075132F" w:rsidP="00994968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eastAsia="Times New Roman" w:cstheme="minorHAnsi"/>
          <w:lang w:eastAsia="en-GB"/>
        </w:rPr>
      </w:pPr>
    </w:p>
    <w:p w14:paraId="3F71B369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07FCA54E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025E52DE" w14:textId="77777777" w:rsidR="00994968" w:rsidRDefault="00994968" w:rsidP="00994968">
      <w:pPr>
        <w:ind w:left="360" w:right="926"/>
        <w:rPr>
          <w:rFonts w:cstheme="minorHAnsi"/>
          <w:b/>
          <w:bCs/>
        </w:rPr>
      </w:pPr>
    </w:p>
    <w:p w14:paraId="480B884C" w14:textId="73B5DBF9" w:rsidR="002B0B48" w:rsidRDefault="002B0B48" w:rsidP="00994968">
      <w:pPr>
        <w:ind w:left="360" w:right="926"/>
        <w:rPr>
          <w:rFonts w:cstheme="minorHAnsi"/>
          <w:b/>
          <w:bCs/>
        </w:rPr>
      </w:pPr>
      <w:r w:rsidRPr="0075132F">
        <w:rPr>
          <w:rFonts w:cstheme="minorHAnsi"/>
          <w:b/>
          <w:bCs/>
        </w:rPr>
        <w:t>Recommended Reading</w:t>
      </w:r>
    </w:p>
    <w:p w14:paraId="08E845B3" w14:textId="182916F1" w:rsidR="001912B4" w:rsidRPr="00994968" w:rsidRDefault="001912B4" w:rsidP="00994968">
      <w:pPr>
        <w:pStyle w:val="NormalWeb"/>
        <w:numPr>
          <w:ilvl w:val="0"/>
          <w:numId w:val="7"/>
        </w:numPr>
        <w:tabs>
          <w:tab w:val="left" w:pos="4680"/>
        </w:tabs>
        <w:ind w:left="630" w:right="926" w:hanging="270"/>
        <w:rPr>
          <w:rFonts w:asciiTheme="minorHAnsi" w:hAnsiTheme="minorHAnsi" w:cstheme="minorHAnsi"/>
          <w:sz w:val="22"/>
          <w:szCs w:val="22"/>
        </w:rPr>
      </w:pPr>
      <w:r w:rsidRPr="00994968">
        <w:rPr>
          <w:rFonts w:asciiTheme="minorHAnsi" w:hAnsiTheme="minorHAnsi" w:cstheme="minorHAnsi"/>
          <w:iCs/>
          <w:sz w:val="22"/>
          <w:szCs w:val="22"/>
        </w:rPr>
        <w:t>Introduction to the Philosophy of Religion</w:t>
      </w:r>
      <w:r w:rsidR="00994968">
        <w:rPr>
          <w:rFonts w:asciiTheme="minorHAnsi" w:hAnsiTheme="minorHAnsi" w:cstheme="minorHAnsi"/>
          <w:sz w:val="22"/>
          <w:szCs w:val="22"/>
        </w:rPr>
        <w:tab/>
      </w:r>
      <w:r w:rsidRPr="00994968">
        <w:rPr>
          <w:rFonts w:asciiTheme="minorHAnsi" w:hAnsiTheme="minorHAnsi" w:cstheme="minorHAnsi"/>
          <w:i/>
          <w:sz w:val="22"/>
          <w:szCs w:val="22"/>
        </w:rPr>
        <w:t>Brian Davies</w:t>
      </w:r>
    </w:p>
    <w:p w14:paraId="69387CC9" w14:textId="012B82CA" w:rsidR="001912B4" w:rsidRPr="00994968" w:rsidRDefault="001912B4" w:rsidP="00994968">
      <w:pPr>
        <w:pStyle w:val="NormalWeb"/>
        <w:numPr>
          <w:ilvl w:val="0"/>
          <w:numId w:val="7"/>
        </w:numPr>
        <w:tabs>
          <w:tab w:val="left" w:pos="4680"/>
        </w:tabs>
        <w:ind w:left="630" w:right="926" w:hanging="270"/>
        <w:rPr>
          <w:rFonts w:asciiTheme="minorHAnsi" w:hAnsiTheme="minorHAnsi" w:cstheme="minorHAnsi"/>
          <w:sz w:val="22"/>
          <w:szCs w:val="22"/>
        </w:rPr>
      </w:pPr>
      <w:r w:rsidRPr="00994968">
        <w:rPr>
          <w:rFonts w:asciiTheme="minorHAnsi" w:hAnsiTheme="minorHAnsi" w:cstheme="minorHAnsi"/>
          <w:iCs/>
          <w:sz w:val="22"/>
          <w:szCs w:val="22"/>
        </w:rPr>
        <w:t>The Puzzle of God</w:t>
      </w:r>
      <w:r w:rsidR="00994968">
        <w:rPr>
          <w:rFonts w:asciiTheme="minorHAnsi" w:hAnsiTheme="minorHAnsi" w:cstheme="minorHAnsi"/>
          <w:sz w:val="22"/>
          <w:szCs w:val="22"/>
        </w:rPr>
        <w:tab/>
      </w:r>
      <w:r w:rsidRPr="00994968">
        <w:rPr>
          <w:rFonts w:asciiTheme="minorHAnsi" w:hAnsiTheme="minorHAnsi" w:cstheme="minorHAnsi"/>
          <w:i/>
          <w:sz w:val="22"/>
          <w:szCs w:val="22"/>
        </w:rPr>
        <w:t>Peter Vardy</w:t>
      </w:r>
    </w:p>
    <w:p w14:paraId="7B61DDDC" w14:textId="0891DEB8" w:rsidR="00994968" w:rsidRPr="00994968" w:rsidRDefault="001912B4" w:rsidP="00994968">
      <w:pPr>
        <w:pStyle w:val="NormalWeb"/>
        <w:numPr>
          <w:ilvl w:val="0"/>
          <w:numId w:val="7"/>
        </w:numPr>
        <w:tabs>
          <w:tab w:val="left" w:pos="4680"/>
        </w:tabs>
        <w:ind w:left="630" w:right="926" w:hanging="270"/>
        <w:rPr>
          <w:rFonts w:asciiTheme="minorHAnsi" w:hAnsiTheme="minorHAnsi" w:cstheme="minorHAnsi"/>
          <w:sz w:val="22"/>
          <w:szCs w:val="22"/>
        </w:rPr>
      </w:pPr>
      <w:r w:rsidRPr="00994968">
        <w:rPr>
          <w:rFonts w:asciiTheme="minorHAnsi" w:hAnsiTheme="minorHAnsi" w:cstheme="minorHAnsi"/>
          <w:iCs/>
          <w:sz w:val="22"/>
          <w:szCs w:val="22"/>
        </w:rPr>
        <w:t>The Puzzle of Ethics</w:t>
      </w:r>
      <w:r w:rsidR="00994968">
        <w:rPr>
          <w:rFonts w:asciiTheme="minorHAnsi" w:hAnsiTheme="minorHAnsi" w:cstheme="minorHAnsi"/>
          <w:sz w:val="22"/>
          <w:szCs w:val="22"/>
        </w:rPr>
        <w:tab/>
      </w:r>
      <w:r w:rsidRPr="00994968">
        <w:rPr>
          <w:rFonts w:asciiTheme="minorHAnsi" w:hAnsiTheme="minorHAnsi" w:cstheme="minorHAnsi"/>
          <w:i/>
          <w:sz w:val="22"/>
          <w:szCs w:val="22"/>
        </w:rPr>
        <w:t xml:space="preserve">Peter Vardy and Paul </w:t>
      </w:r>
      <w:proofErr w:type="spellStart"/>
      <w:r w:rsidRPr="00994968">
        <w:rPr>
          <w:rFonts w:asciiTheme="minorHAnsi" w:hAnsiTheme="minorHAnsi" w:cstheme="minorHAnsi"/>
          <w:i/>
          <w:sz w:val="22"/>
          <w:szCs w:val="22"/>
        </w:rPr>
        <w:t>Grosch</w:t>
      </w:r>
      <w:proofErr w:type="spellEnd"/>
    </w:p>
    <w:p w14:paraId="5F19E81F" w14:textId="77777777" w:rsidR="00994968" w:rsidRDefault="00994968" w:rsidP="00994968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cstheme="minorHAnsi"/>
          <w:b/>
          <w:bCs/>
        </w:rPr>
      </w:pPr>
    </w:p>
    <w:p w14:paraId="48C4A613" w14:textId="73C58CCC" w:rsidR="0075132F" w:rsidRDefault="0075132F" w:rsidP="00994968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cstheme="minorHAnsi"/>
          <w:b/>
          <w:bCs/>
        </w:rPr>
      </w:pPr>
      <w:r w:rsidRPr="0075132F">
        <w:rPr>
          <w:rFonts w:cstheme="minorHAnsi"/>
          <w:b/>
          <w:bCs/>
        </w:rPr>
        <w:t>Recommended Viewing</w:t>
      </w:r>
    </w:p>
    <w:p w14:paraId="7CB7555B" w14:textId="480D65FD" w:rsidR="00636553" w:rsidRDefault="00636553" w:rsidP="00994968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cstheme="minorHAnsi"/>
        </w:rPr>
      </w:pPr>
      <w:r>
        <w:rPr>
          <w:rFonts w:cstheme="minorHAnsi"/>
        </w:rPr>
        <w:t xml:space="preserve">‘Crash Course Philosophy’ at </w:t>
      </w:r>
      <w:hyperlink r:id="rId12" w:history="1">
        <w:r w:rsidRPr="00CC1E3B">
          <w:rPr>
            <w:rStyle w:val="Hyperlink"/>
            <w:rFonts w:cstheme="minorHAnsi"/>
          </w:rPr>
          <w:t>https://thecrashcourse.com/courses/philosophy</w:t>
        </w:r>
      </w:hyperlink>
    </w:p>
    <w:p w14:paraId="3B2990FF" w14:textId="29DAB1F6" w:rsidR="00F62A4B" w:rsidRDefault="00636553" w:rsidP="00994968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cstheme="minorHAnsi"/>
        </w:rPr>
      </w:pPr>
      <w:r>
        <w:rPr>
          <w:rFonts w:cstheme="minorHAnsi"/>
        </w:rPr>
        <w:t xml:space="preserve">‘Philosophy Tube’ at </w:t>
      </w:r>
      <w:hyperlink r:id="rId13" w:history="1">
        <w:r w:rsidR="00F62A4B" w:rsidRPr="00CC1E3B">
          <w:rPr>
            <w:rStyle w:val="Hyperlink"/>
            <w:rFonts w:cstheme="minorHAnsi"/>
          </w:rPr>
          <w:t>https://www.youtube.com/c/thephilosophytube/playlists</w:t>
        </w:r>
      </w:hyperlink>
    </w:p>
    <w:p w14:paraId="3FB811D8" w14:textId="70774EC8" w:rsidR="00636553" w:rsidRPr="00994968" w:rsidRDefault="00636553" w:rsidP="000E1BE0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ind w:left="630" w:right="926" w:hanging="270"/>
        <w:outlineLvl w:val="0"/>
        <w:rPr>
          <w:rFonts w:cstheme="minorHAnsi"/>
        </w:rPr>
      </w:pPr>
      <w:r w:rsidRPr="00994968">
        <w:rPr>
          <w:rFonts w:cstheme="minorHAnsi"/>
        </w:rPr>
        <w:t xml:space="preserve">‘The School of </w:t>
      </w:r>
      <w:r w:rsidR="00F62A4B" w:rsidRPr="00994968">
        <w:rPr>
          <w:rFonts w:cstheme="minorHAnsi"/>
        </w:rPr>
        <w:t>Life</w:t>
      </w:r>
      <w:r w:rsidRPr="00994968">
        <w:rPr>
          <w:rFonts w:cstheme="minorHAnsi"/>
        </w:rPr>
        <w:t>’ at</w:t>
      </w:r>
      <w:r w:rsidR="00F62A4B" w:rsidRPr="00994968">
        <w:rPr>
          <w:rFonts w:cstheme="minorHAnsi"/>
        </w:rPr>
        <w:t xml:space="preserve"> </w:t>
      </w:r>
      <w:hyperlink r:id="rId14" w:history="1">
        <w:r w:rsidR="00F62A4B" w:rsidRPr="00994968">
          <w:rPr>
            <w:rStyle w:val="Hyperlink"/>
            <w:rFonts w:cstheme="minorHAnsi"/>
          </w:rPr>
          <w:t>https://www.youtube.com/c/theschooloflifetv/playlists</w:t>
        </w:r>
      </w:hyperlink>
    </w:p>
    <w:sectPr w:rsidR="00636553" w:rsidRPr="00994968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1A69"/>
    <w:multiLevelType w:val="hybridMultilevel"/>
    <w:tmpl w:val="A456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340C"/>
    <w:multiLevelType w:val="hybridMultilevel"/>
    <w:tmpl w:val="D5EE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27B3"/>
    <w:multiLevelType w:val="hybridMultilevel"/>
    <w:tmpl w:val="860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0E5F3F"/>
    <w:rsid w:val="00105703"/>
    <w:rsid w:val="001912B4"/>
    <w:rsid w:val="001E4862"/>
    <w:rsid w:val="002B0B48"/>
    <w:rsid w:val="00394993"/>
    <w:rsid w:val="003A630C"/>
    <w:rsid w:val="004802D5"/>
    <w:rsid w:val="00535164"/>
    <w:rsid w:val="00636553"/>
    <w:rsid w:val="00694472"/>
    <w:rsid w:val="0075132F"/>
    <w:rsid w:val="008D5B2E"/>
    <w:rsid w:val="008F13C9"/>
    <w:rsid w:val="00910D89"/>
    <w:rsid w:val="00992FFC"/>
    <w:rsid w:val="00994968"/>
    <w:rsid w:val="009B3DDB"/>
    <w:rsid w:val="00A2178E"/>
    <w:rsid w:val="00AB4118"/>
    <w:rsid w:val="00CE45B4"/>
    <w:rsid w:val="00DD13FA"/>
    <w:rsid w:val="00E11A3D"/>
    <w:rsid w:val="00E91397"/>
    <w:rsid w:val="00EC70A6"/>
    <w:rsid w:val="00F0342E"/>
    <w:rsid w:val="00F55061"/>
    <w:rsid w:val="00F62A4B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3A630C"/>
  </w:style>
  <w:style w:type="table" w:styleId="GridTable4-Accent1">
    <w:name w:val="Grid Table 4 Accent 1"/>
    <w:basedOn w:val="TableNormal"/>
    <w:uiPriority w:val="49"/>
    <w:rsid w:val="00E1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9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9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9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9949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programmes/p00szxv6/episodes/downloads" TargetMode="External"/><Relationship Id="rId12" Type="http://schemas.openxmlformats.org/officeDocument/2006/relationships/hyperlink" Target="https://thecrashcourse.com/courses/philosophy" TargetMode="External"/><Relationship Id="rId13" Type="http://schemas.openxmlformats.org/officeDocument/2006/relationships/hyperlink" Target="https://www.youtube.com/c/thephilosophytube/playlists" TargetMode="External"/><Relationship Id="rId14" Type="http://schemas.openxmlformats.org/officeDocument/2006/relationships/hyperlink" Target="https://www.youtube.com/c/theschooloflifetv/playlist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mithma@btc.ac.uk" TargetMode="External"/><Relationship Id="rId7" Type="http://schemas.openxmlformats.org/officeDocument/2006/relationships/hyperlink" Target="http://www.philosophypages.com/dy/" TargetMode="External"/><Relationship Id="rId8" Type="http://schemas.openxmlformats.org/officeDocument/2006/relationships/hyperlink" Target="https://www.youtube.com/watch?v=9AzNEG1GB-k" TargetMode="External"/><Relationship Id="rId9" Type="http://schemas.openxmlformats.org/officeDocument/2006/relationships/hyperlink" Target="https://www.bbc.co.uk/programmes/p01gvqlg" TargetMode="External"/><Relationship Id="rId10" Type="http://schemas.openxmlformats.org/officeDocument/2006/relationships/hyperlink" Target="https://www.bbc.co.uk/programmes/b006qk11/episodes/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5</cp:revision>
  <dcterms:created xsi:type="dcterms:W3CDTF">2021-02-22T09:13:00Z</dcterms:created>
  <dcterms:modified xsi:type="dcterms:W3CDTF">2021-03-05T14:08:00Z</dcterms:modified>
</cp:coreProperties>
</file>