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1E7" w:rsidRDefault="005742E5" w:rsidP="005742E5">
      <w:pPr>
        <w:jc w:val="center"/>
        <w:rPr>
          <w:rFonts w:ascii="Arial" w:hAnsi="Arial" w:cs="Arial"/>
          <w:b/>
          <w:u w:val="single"/>
        </w:rPr>
      </w:pPr>
      <w:r>
        <w:rPr>
          <w:rFonts w:ascii="Arial" w:hAnsi="Arial" w:cs="Arial"/>
          <w:b/>
          <w:u w:val="single"/>
        </w:rPr>
        <w:t>Trade Union Facility Publication</w:t>
      </w:r>
    </w:p>
    <w:p w:rsidR="005742E5" w:rsidRDefault="005742E5" w:rsidP="005742E5">
      <w:pPr>
        <w:jc w:val="center"/>
        <w:rPr>
          <w:rFonts w:ascii="Arial" w:hAnsi="Arial" w:cs="Arial"/>
        </w:rPr>
      </w:pPr>
    </w:p>
    <w:p w:rsidR="005742E5" w:rsidRDefault="005742E5" w:rsidP="005742E5">
      <w:pPr>
        <w:jc w:val="both"/>
        <w:rPr>
          <w:rFonts w:ascii="Arial" w:hAnsi="Arial" w:cs="Arial"/>
          <w:b/>
        </w:rPr>
      </w:pPr>
      <w:r w:rsidRPr="005742E5">
        <w:rPr>
          <w:rFonts w:ascii="Arial" w:hAnsi="Arial" w:cs="Arial"/>
          <w:b/>
        </w:rPr>
        <w:t xml:space="preserve">Overview </w:t>
      </w:r>
    </w:p>
    <w:p w:rsidR="005742E5" w:rsidRDefault="005742E5" w:rsidP="005742E5">
      <w:pPr>
        <w:jc w:val="both"/>
        <w:rPr>
          <w:rFonts w:ascii="Arial" w:hAnsi="Arial" w:cs="Arial"/>
        </w:rPr>
      </w:pPr>
      <w:r>
        <w:rPr>
          <w:rFonts w:ascii="Arial" w:hAnsi="Arial" w:cs="Arial"/>
        </w:rPr>
        <w:t>The Trade Union Act 2016 requires public sector employers to publish information in respect to Trade Union Facility Time.  The report below relates to the period 1 April 202</w:t>
      </w:r>
      <w:r w:rsidR="00AB502B">
        <w:rPr>
          <w:rFonts w:ascii="Arial" w:hAnsi="Arial" w:cs="Arial"/>
        </w:rPr>
        <w:t>1</w:t>
      </w:r>
      <w:r>
        <w:rPr>
          <w:rFonts w:ascii="Arial" w:hAnsi="Arial" w:cs="Arial"/>
        </w:rPr>
        <w:t xml:space="preserve"> to 31 March 202</w:t>
      </w:r>
      <w:r w:rsidR="00AB502B">
        <w:rPr>
          <w:rFonts w:ascii="Arial" w:hAnsi="Arial" w:cs="Arial"/>
        </w:rPr>
        <w:t>2</w:t>
      </w:r>
      <w:r>
        <w:rPr>
          <w:rFonts w:ascii="Arial" w:hAnsi="Arial" w:cs="Arial"/>
        </w:rPr>
        <w:t>.</w:t>
      </w:r>
    </w:p>
    <w:p w:rsidR="005742E5" w:rsidRDefault="005742E5" w:rsidP="005742E5">
      <w:pPr>
        <w:jc w:val="both"/>
        <w:rPr>
          <w:rFonts w:ascii="Arial" w:hAnsi="Arial" w:cs="Arial"/>
        </w:rPr>
      </w:pPr>
    </w:p>
    <w:p w:rsidR="005742E5" w:rsidRPr="005742E5" w:rsidRDefault="005742E5" w:rsidP="005742E5">
      <w:pPr>
        <w:jc w:val="both"/>
        <w:rPr>
          <w:rFonts w:ascii="Arial" w:hAnsi="Arial" w:cs="Arial"/>
          <w:b/>
        </w:rPr>
      </w:pPr>
      <w:r w:rsidRPr="005742E5">
        <w:rPr>
          <w:rFonts w:ascii="Arial" w:hAnsi="Arial" w:cs="Arial"/>
          <w:b/>
        </w:rPr>
        <w:t>Table 1</w:t>
      </w:r>
    </w:p>
    <w:p w:rsidR="005742E5" w:rsidRDefault="005742E5" w:rsidP="005742E5">
      <w:pPr>
        <w:jc w:val="both"/>
        <w:rPr>
          <w:rFonts w:ascii="Arial" w:hAnsi="Arial" w:cs="Arial"/>
          <w:b/>
        </w:rPr>
      </w:pPr>
      <w:r w:rsidRPr="005742E5">
        <w:rPr>
          <w:rFonts w:ascii="Arial" w:hAnsi="Arial" w:cs="Arial"/>
          <w:b/>
        </w:rPr>
        <w:t>Relevant Union Officials</w:t>
      </w:r>
    </w:p>
    <w:p w:rsidR="005742E5" w:rsidRDefault="005742E5" w:rsidP="005742E5">
      <w:pPr>
        <w:jc w:val="both"/>
        <w:rPr>
          <w:rFonts w:ascii="Arial" w:hAnsi="Arial" w:cs="Arial"/>
        </w:rPr>
      </w:pPr>
      <w:r>
        <w:rPr>
          <w:rFonts w:ascii="Arial" w:hAnsi="Arial" w:cs="Arial"/>
        </w:rPr>
        <w:t>The total number of employees who were relevant union officials during the period 1 April 202</w:t>
      </w:r>
      <w:r w:rsidR="00AB502B">
        <w:rPr>
          <w:rFonts w:ascii="Arial" w:hAnsi="Arial" w:cs="Arial"/>
        </w:rPr>
        <w:t>1</w:t>
      </w:r>
      <w:r>
        <w:rPr>
          <w:rFonts w:ascii="Arial" w:hAnsi="Arial" w:cs="Arial"/>
        </w:rPr>
        <w:t xml:space="preserve"> to 31 March 202</w:t>
      </w:r>
      <w:r w:rsidR="00AB502B">
        <w:rPr>
          <w:rFonts w:ascii="Arial" w:hAnsi="Arial" w:cs="Arial"/>
        </w:rPr>
        <w:t>2</w:t>
      </w:r>
      <w:r>
        <w:rPr>
          <w:rFonts w:ascii="Arial" w:hAnsi="Arial" w:cs="Arial"/>
        </w:rPr>
        <w:t>.</w:t>
      </w:r>
    </w:p>
    <w:tbl>
      <w:tblPr>
        <w:tblStyle w:val="TableGrid"/>
        <w:tblW w:w="0" w:type="auto"/>
        <w:tblLook w:val="04A0" w:firstRow="1" w:lastRow="0" w:firstColumn="1" w:lastColumn="0" w:noHBand="0" w:noVBand="1"/>
      </w:tblPr>
      <w:tblGrid>
        <w:gridCol w:w="7083"/>
        <w:gridCol w:w="1933"/>
      </w:tblGrid>
      <w:tr w:rsidR="005742E5" w:rsidTr="005742E5">
        <w:tc>
          <w:tcPr>
            <w:tcW w:w="7083" w:type="dxa"/>
          </w:tcPr>
          <w:p w:rsidR="005742E5" w:rsidRPr="005742E5" w:rsidRDefault="005742E5" w:rsidP="005742E5">
            <w:pPr>
              <w:jc w:val="both"/>
              <w:rPr>
                <w:rFonts w:ascii="Arial" w:hAnsi="Arial" w:cs="Arial"/>
                <w:i/>
              </w:rPr>
            </w:pPr>
            <w:r>
              <w:rPr>
                <w:rFonts w:ascii="Arial" w:hAnsi="Arial" w:cs="Arial"/>
                <w:i/>
              </w:rPr>
              <w:t>Number of employees who were relevant union officials during the period 1 April 2021 to 31 March 2022</w:t>
            </w:r>
          </w:p>
        </w:tc>
        <w:tc>
          <w:tcPr>
            <w:tcW w:w="1933" w:type="dxa"/>
          </w:tcPr>
          <w:p w:rsidR="005742E5" w:rsidRPr="005742E5" w:rsidRDefault="005742E5" w:rsidP="005742E5">
            <w:pPr>
              <w:jc w:val="both"/>
              <w:rPr>
                <w:rFonts w:ascii="Arial" w:hAnsi="Arial" w:cs="Arial"/>
                <w:i/>
              </w:rPr>
            </w:pPr>
            <w:r>
              <w:rPr>
                <w:rFonts w:ascii="Arial" w:hAnsi="Arial" w:cs="Arial"/>
                <w:i/>
              </w:rPr>
              <w:t>Full-time equivalent</w:t>
            </w:r>
          </w:p>
        </w:tc>
      </w:tr>
      <w:tr w:rsidR="005742E5" w:rsidTr="005742E5">
        <w:tc>
          <w:tcPr>
            <w:tcW w:w="7083" w:type="dxa"/>
          </w:tcPr>
          <w:p w:rsidR="005742E5" w:rsidRDefault="00241EF1" w:rsidP="005742E5">
            <w:pPr>
              <w:jc w:val="both"/>
              <w:rPr>
                <w:rFonts w:ascii="Arial" w:hAnsi="Arial" w:cs="Arial"/>
              </w:rPr>
            </w:pPr>
            <w:r>
              <w:rPr>
                <w:rFonts w:ascii="Arial" w:hAnsi="Arial" w:cs="Arial"/>
              </w:rPr>
              <w:t>7</w:t>
            </w:r>
          </w:p>
        </w:tc>
        <w:tc>
          <w:tcPr>
            <w:tcW w:w="1933" w:type="dxa"/>
          </w:tcPr>
          <w:p w:rsidR="005742E5" w:rsidRDefault="00241EF1" w:rsidP="005742E5">
            <w:pPr>
              <w:jc w:val="both"/>
              <w:rPr>
                <w:rFonts w:ascii="Arial" w:hAnsi="Arial" w:cs="Arial"/>
              </w:rPr>
            </w:pPr>
            <w:r>
              <w:rPr>
                <w:rFonts w:ascii="Arial" w:hAnsi="Arial" w:cs="Arial"/>
              </w:rPr>
              <w:t>6</w:t>
            </w:r>
            <w:r w:rsidR="005742E5">
              <w:rPr>
                <w:rFonts w:ascii="Arial" w:hAnsi="Arial" w:cs="Arial"/>
              </w:rPr>
              <w:t>.</w:t>
            </w:r>
            <w:r w:rsidR="00E92EE1">
              <w:rPr>
                <w:rFonts w:ascii="Arial" w:hAnsi="Arial" w:cs="Arial"/>
              </w:rPr>
              <w:t>1</w:t>
            </w:r>
          </w:p>
        </w:tc>
      </w:tr>
    </w:tbl>
    <w:p w:rsidR="005742E5" w:rsidRDefault="005742E5" w:rsidP="005742E5">
      <w:pPr>
        <w:jc w:val="both"/>
        <w:rPr>
          <w:rFonts w:ascii="Arial" w:hAnsi="Arial" w:cs="Arial"/>
        </w:rPr>
      </w:pPr>
    </w:p>
    <w:p w:rsidR="00395C97" w:rsidRDefault="00395C97" w:rsidP="005742E5">
      <w:pPr>
        <w:jc w:val="both"/>
        <w:rPr>
          <w:rFonts w:ascii="Arial" w:hAnsi="Arial" w:cs="Arial"/>
        </w:rPr>
      </w:pPr>
    </w:p>
    <w:p w:rsidR="00DB2042" w:rsidRPr="00395C97" w:rsidRDefault="00DB2042" w:rsidP="005742E5">
      <w:pPr>
        <w:jc w:val="both"/>
        <w:rPr>
          <w:rFonts w:ascii="Arial" w:hAnsi="Arial" w:cs="Arial"/>
          <w:b/>
        </w:rPr>
      </w:pPr>
      <w:r w:rsidRPr="00395C97">
        <w:rPr>
          <w:rFonts w:ascii="Arial" w:hAnsi="Arial" w:cs="Arial"/>
          <w:b/>
        </w:rPr>
        <w:t xml:space="preserve">Agreed </w:t>
      </w:r>
      <w:r w:rsidR="00395C97" w:rsidRPr="00395C97">
        <w:rPr>
          <w:rFonts w:ascii="Arial" w:hAnsi="Arial" w:cs="Arial"/>
          <w:b/>
        </w:rPr>
        <w:t>time off for union activities:</w:t>
      </w:r>
    </w:p>
    <w:p w:rsidR="00395C97" w:rsidRDefault="00395C97" w:rsidP="005742E5">
      <w:pPr>
        <w:jc w:val="both"/>
        <w:rPr>
          <w:rFonts w:ascii="Arial" w:hAnsi="Arial" w:cs="Arial"/>
        </w:rPr>
      </w:pPr>
      <w:r>
        <w:rPr>
          <w:rFonts w:ascii="Arial" w:hAnsi="Arial" w:cs="Arial"/>
        </w:rPr>
        <w:t>UCU – 144 hours remission (a total of 230 hours with associated non-teaching time)</w:t>
      </w:r>
    </w:p>
    <w:p w:rsidR="00395C97" w:rsidRDefault="00395C97" w:rsidP="005742E5">
      <w:pPr>
        <w:jc w:val="both"/>
        <w:rPr>
          <w:rFonts w:ascii="Arial" w:hAnsi="Arial" w:cs="Arial"/>
        </w:rPr>
      </w:pPr>
      <w:r>
        <w:rPr>
          <w:rFonts w:ascii="Arial" w:hAnsi="Arial" w:cs="Arial"/>
        </w:rPr>
        <w:t>Unions – 230 hours per year</w:t>
      </w:r>
    </w:p>
    <w:p w:rsidR="00241EF1" w:rsidRDefault="00241EF1" w:rsidP="005742E5">
      <w:pPr>
        <w:jc w:val="both"/>
        <w:rPr>
          <w:rFonts w:ascii="Arial" w:hAnsi="Arial" w:cs="Arial"/>
          <w:b/>
        </w:rPr>
      </w:pPr>
      <w:r>
        <w:rPr>
          <w:rFonts w:ascii="Arial" w:hAnsi="Arial" w:cs="Arial"/>
          <w:b/>
        </w:rPr>
        <w:t>Table 2</w:t>
      </w:r>
    </w:p>
    <w:p w:rsidR="00241EF1" w:rsidRDefault="00241EF1" w:rsidP="005742E5">
      <w:pPr>
        <w:jc w:val="both"/>
        <w:rPr>
          <w:rFonts w:ascii="Arial" w:hAnsi="Arial" w:cs="Arial"/>
          <w:b/>
        </w:rPr>
      </w:pPr>
      <w:r>
        <w:rPr>
          <w:rFonts w:ascii="Arial" w:hAnsi="Arial" w:cs="Arial"/>
          <w:b/>
        </w:rPr>
        <w:t>Percentage of time spent on facility time</w:t>
      </w:r>
    </w:p>
    <w:p w:rsidR="00241EF1" w:rsidRDefault="00241EF1" w:rsidP="005742E5">
      <w:pPr>
        <w:jc w:val="both"/>
        <w:rPr>
          <w:rFonts w:ascii="Arial" w:hAnsi="Arial" w:cs="Arial"/>
        </w:rPr>
      </w:pPr>
      <w:r>
        <w:rPr>
          <w:rFonts w:ascii="Arial" w:hAnsi="Arial" w:cs="Arial"/>
        </w:rPr>
        <w:t>Employees who were relevant union officials employed during the period 1 April 202</w:t>
      </w:r>
      <w:r w:rsidR="00AB502B">
        <w:rPr>
          <w:rFonts w:ascii="Arial" w:hAnsi="Arial" w:cs="Arial"/>
        </w:rPr>
        <w:t>1</w:t>
      </w:r>
      <w:r>
        <w:rPr>
          <w:rFonts w:ascii="Arial" w:hAnsi="Arial" w:cs="Arial"/>
        </w:rPr>
        <w:t xml:space="preserve"> to 31 March 202</w:t>
      </w:r>
      <w:r w:rsidR="00AB502B">
        <w:rPr>
          <w:rFonts w:ascii="Arial" w:hAnsi="Arial" w:cs="Arial"/>
        </w:rPr>
        <w:t>2</w:t>
      </w:r>
      <w:bookmarkStart w:id="0" w:name="_GoBack"/>
      <w:bookmarkEnd w:id="0"/>
      <w:r>
        <w:rPr>
          <w:rFonts w:ascii="Arial" w:hAnsi="Arial" w:cs="Arial"/>
        </w:rPr>
        <w:t xml:space="preserve"> spent a) 0% b) 1%-50% c) 51% - 99% or d) 100% of their working hours on facility time.</w:t>
      </w:r>
    </w:p>
    <w:tbl>
      <w:tblPr>
        <w:tblStyle w:val="TableGrid"/>
        <w:tblW w:w="0" w:type="auto"/>
        <w:tblLook w:val="04A0" w:firstRow="1" w:lastRow="0" w:firstColumn="1" w:lastColumn="0" w:noHBand="0" w:noVBand="1"/>
      </w:tblPr>
      <w:tblGrid>
        <w:gridCol w:w="4508"/>
        <w:gridCol w:w="4508"/>
      </w:tblGrid>
      <w:tr w:rsidR="00241EF1" w:rsidTr="00241EF1">
        <w:tc>
          <w:tcPr>
            <w:tcW w:w="4508" w:type="dxa"/>
          </w:tcPr>
          <w:p w:rsidR="00241EF1" w:rsidRPr="00241EF1" w:rsidRDefault="00241EF1" w:rsidP="005742E5">
            <w:pPr>
              <w:jc w:val="both"/>
              <w:rPr>
                <w:rFonts w:ascii="Arial" w:hAnsi="Arial" w:cs="Arial"/>
                <w:i/>
              </w:rPr>
            </w:pPr>
            <w:r>
              <w:rPr>
                <w:rFonts w:ascii="Arial" w:hAnsi="Arial" w:cs="Arial"/>
                <w:i/>
              </w:rPr>
              <w:t>Percentage of time</w:t>
            </w:r>
          </w:p>
        </w:tc>
        <w:tc>
          <w:tcPr>
            <w:tcW w:w="4508" w:type="dxa"/>
          </w:tcPr>
          <w:p w:rsidR="00241EF1" w:rsidRPr="00241EF1" w:rsidRDefault="00241EF1" w:rsidP="005742E5">
            <w:pPr>
              <w:jc w:val="both"/>
              <w:rPr>
                <w:rFonts w:ascii="Arial" w:hAnsi="Arial" w:cs="Arial"/>
                <w:i/>
              </w:rPr>
            </w:pPr>
            <w:r w:rsidRPr="00241EF1">
              <w:rPr>
                <w:rFonts w:ascii="Arial" w:hAnsi="Arial" w:cs="Arial"/>
                <w:i/>
              </w:rPr>
              <w:t>Number of employees</w:t>
            </w:r>
          </w:p>
        </w:tc>
      </w:tr>
      <w:tr w:rsidR="00241EF1" w:rsidTr="00241EF1">
        <w:tc>
          <w:tcPr>
            <w:tcW w:w="4508" w:type="dxa"/>
          </w:tcPr>
          <w:p w:rsidR="00241EF1" w:rsidRDefault="00241EF1" w:rsidP="005742E5">
            <w:pPr>
              <w:jc w:val="both"/>
              <w:rPr>
                <w:rFonts w:ascii="Arial" w:hAnsi="Arial" w:cs="Arial"/>
              </w:rPr>
            </w:pPr>
            <w:r>
              <w:rPr>
                <w:rFonts w:ascii="Arial" w:hAnsi="Arial" w:cs="Arial"/>
              </w:rPr>
              <w:t>0%</w:t>
            </w:r>
          </w:p>
        </w:tc>
        <w:tc>
          <w:tcPr>
            <w:tcW w:w="4508" w:type="dxa"/>
          </w:tcPr>
          <w:p w:rsidR="00241EF1" w:rsidRDefault="00241EF1" w:rsidP="005742E5">
            <w:pPr>
              <w:jc w:val="both"/>
              <w:rPr>
                <w:rFonts w:ascii="Arial" w:hAnsi="Arial" w:cs="Arial"/>
              </w:rPr>
            </w:pPr>
            <w:r>
              <w:rPr>
                <w:rFonts w:ascii="Arial" w:hAnsi="Arial" w:cs="Arial"/>
              </w:rPr>
              <w:t>0</w:t>
            </w:r>
          </w:p>
        </w:tc>
      </w:tr>
      <w:tr w:rsidR="00241EF1" w:rsidTr="00241EF1">
        <w:tc>
          <w:tcPr>
            <w:tcW w:w="4508" w:type="dxa"/>
          </w:tcPr>
          <w:p w:rsidR="00241EF1" w:rsidRDefault="00241EF1" w:rsidP="005742E5">
            <w:pPr>
              <w:jc w:val="both"/>
              <w:rPr>
                <w:rFonts w:ascii="Arial" w:hAnsi="Arial" w:cs="Arial"/>
              </w:rPr>
            </w:pPr>
            <w:r>
              <w:rPr>
                <w:rFonts w:ascii="Arial" w:hAnsi="Arial" w:cs="Arial"/>
              </w:rPr>
              <w:t>1%-50%</w:t>
            </w:r>
          </w:p>
        </w:tc>
        <w:tc>
          <w:tcPr>
            <w:tcW w:w="4508" w:type="dxa"/>
          </w:tcPr>
          <w:p w:rsidR="00241EF1" w:rsidRDefault="00241EF1" w:rsidP="005742E5">
            <w:pPr>
              <w:jc w:val="both"/>
              <w:rPr>
                <w:rFonts w:ascii="Arial" w:hAnsi="Arial" w:cs="Arial"/>
              </w:rPr>
            </w:pPr>
            <w:r>
              <w:rPr>
                <w:rFonts w:ascii="Arial" w:hAnsi="Arial" w:cs="Arial"/>
              </w:rPr>
              <w:t>7</w:t>
            </w:r>
          </w:p>
        </w:tc>
      </w:tr>
      <w:tr w:rsidR="00241EF1" w:rsidTr="00241EF1">
        <w:tc>
          <w:tcPr>
            <w:tcW w:w="4508" w:type="dxa"/>
          </w:tcPr>
          <w:p w:rsidR="00241EF1" w:rsidRDefault="00241EF1" w:rsidP="005742E5">
            <w:pPr>
              <w:jc w:val="both"/>
              <w:rPr>
                <w:rFonts w:ascii="Arial" w:hAnsi="Arial" w:cs="Arial"/>
              </w:rPr>
            </w:pPr>
            <w:r>
              <w:rPr>
                <w:rFonts w:ascii="Arial" w:hAnsi="Arial" w:cs="Arial"/>
              </w:rPr>
              <w:t>51%-99%</w:t>
            </w:r>
          </w:p>
        </w:tc>
        <w:tc>
          <w:tcPr>
            <w:tcW w:w="4508" w:type="dxa"/>
          </w:tcPr>
          <w:p w:rsidR="00241EF1" w:rsidRDefault="00241EF1" w:rsidP="005742E5">
            <w:pPr>
              <w:jc w:val="both"/>
              <w:rPr>
                <w:rFonts w:ascii="Arial" w:hAnsi="Arial" w:cs="Arial"/>
              </w:rPr>
            </w:pPr>
            <w:r>
              <w:rPr>
                <w:rFonts w:ascii="Arial" w:hAnsi="Arial" w:cs="Arial"/>
              </w:rPr>
              <w:t>0</w:t>
            </w:r>
          </w:p>
        </w:tc>
      </w:tr>
      <w:tr w:rsidR="00241EF1" w:rsidTr="00241EF1">
        <w:tc>
          <w:tcPr>
            <w:tcW w:w="4508" w:type="dxa"/>
          </w:tcPr>
          <w:p w:rsidR="00241EF1" w:rsidRDefault="00241EF1" w:rsidP="005742E5">
            <w:pPr>
              <w:jc w:val="both"/>
              <w:rPr>
                <w:rFonts w:ascii="Arial" w:hAnsi="Arial" w:cs="Arial"/>
              </w:rPr>
            </w:pPr>
            <w:r>
              <w:rPr>
                <w:rFonts w:ascii="Arial" w:hAnsi="Arial" w:cs="Arial"/>
              </w:rPr>
              <w:t>100%</w:t>
            </w:r>
          </w:p>
        </w:tc>
        <w:tc>
          <w:tcPr>
            <w:tcW w:w="4508" w:type="dxa"/>
          </w:tcPr>
          <w:p w:rsidR="00241EF1" w:rsidRDefault="00241EF1" w:rsidP="005742E5">
            <w:pPr>
              <w:jc w:val="both"/>
              <w:rPr>
                <w:rFonts w:ascii="Arial" w:hAnsi="Arial" w:cs="Arial"/>
              </w:rPr>
            </w:pPr>
            <w:r>
              <w:rPr>
                <w:rFonts w:ascii="Arial" w:hAnsi="Arial" w:cs="Arial"/>
              </w:rPr>
              <w:t>0</w:t>
            </w:r>
          </w:p>
        </w:tc>
      </w:tr>
    </w:tbl>
    <w:p w:rsidR="00241EF1" w:rsidRDefault="00241EF1" w:rsidP="005742E5">
      <w:pPr>
        <w:jc w:val="both"/>
        <w:rPr>
          <w:rFonts w:ascii="Arial" w:hAnsi="Arial" w:cs="Arial"/>
        </w:rPr>
      </w:pPr>
    </w:p>
    <w:p w:rsidR="00241EF1" w:rsidRDefault="00241EF1" w:rsidP="005742E5">
      <w:pPr>
        <w:jc w:val="both"/>
        <w:rPr>
          <w:rFonts w:ascii="Arial" w:hAnsi="Arial" w:cs="Arial"/>
        </w:rPr>
      </w:pPr>
      <w:r>
        <w:rPr>
          <w:rFonts w:ascii="Arial" w:hAnsi="Arial" w:cs="Arial"/>
        </w:rPr>
        <w:t>Note, we have calculated this figure as the total number of facility hours divided by the working hours of the trade union officials.  Currently we do not have data that breaks down the percentage of time per employee.</w:t>
      </w:r>
    </w:p>
    <w:p w:rsidR="00395C97" w:rsidRDefault="00395C97" w:rsidP="005742E5">
      <w:pPr>
        <w:jc w:val="both"/>
        <w:rPr>
          <w:rFonts w:ascii="Arial" w:hAnsi="Arial" w:cs="Arial"/>
          <w:b/>
        </w:rPr>
      </w:pPr>
    </w:p>
    <w:p w:rsidR="00395C97" w:rsidRDefault="00395C97" w:rsidP="005742E5">
      <w:pPr>
        <w:jc w:val="both"/>
        <w:rPr>
          <w:rFonts w:ascii="Arial" w:hAnsi="Arial" w:cs="Arial"/>
          <w:b/>
        </w:rPr>
      </w:pPr>
    </w:p>
    <w:p w:rsidR="00395C97" w:rsidRDefault="00395C97" w:rsidP="005742E5">
      <w:pPr>
        <w:jc w:val="both"/>
        <w:rPr>
          <w:rFonts w:ascii="Arial" w:hAnsi="Arial" w:cs="Arial"/>
          <w:b/>
        </w:rPr>
      </w:pPr>
    </w:p>
    <w:p w:rsidR="00395C97" w:rsidRDefault="00395C97" w:rsidP="005742E5">
      <w:pPr>
        <w:jc w:val="both"/>
        <w:rPr>
          <w:rFonts w:ascii="Arial" w:hAnsi="Arial" w:cs="Arial"/>
          <w:b/>
        </w:rPr>
      </w:pPr>
    </w:p>
    <w:p w:rsidR="00395C97" w:rsidRDefault="00395C97" w:rsidP="005742E5">
      <w:pPr>
        <w:jc w:val="both"/>
        <w:rPr>
          <w:rFonts w:ascii="Arial" w:hAnsi="Arial" w:cs="Arial"/>
          <w:b/>
        </w:rPr>
      </w:pPr>
    </w:p>
    <w:p w:rsidR="00395C97" w:rsidRDefault="00395C97" w:rsidP="005742E5">
      <w:pPr>
        <w:jc w:val="both"/>
        <w:rPr>
          <w:rFonts w:ascii="Arial" w:hAnsi="Arial" w:cs="Arial"/>
          <w:b/>
        </w:rPr>
      </w:pPr>
    </w:p>
    <w:p w:rsidR="00241EF1" w:rsidRDefault="00241EF1" w:rsidP="005742E5">
      <w:pPr>
        <w:jc w:val="both"/>
        <w:rPr>
          <w:rFonts w:ascii="Arial" w:hAnsi="Arial" w:cs="Arial"/>
          <w:b/>
        </w:rPr>
      </w:pPr>
      <w:r>
        <w:rPr>
          <w:rFonts w:ascii="Arial" w:hAnsi="Arial" w:cs="Arial"/>
          <w:b/>
        </w:rPr>
        <w:t>Table 3</w:t>
      </w:r>
    </w:p>
    <w:p w:rsidR="00241EF1" w:rsidRDefault="00241EF1" w:rsidP="005742E5">
      <w:pPr>
        <w:jc w:val="both"/>
        <w:rPr>
          <w:rFonts w:ascii="Arial" w:hAnsi="Arial" w:cs="Arial"/>
          <w:b/>
        </w:rPr>
      </w:pPr>
      <w:r>
        <w:rPr>
          <w:rFonts w:ascii="Arial" w:hAnsi="Arial" w:cs="Arial"/>
          <w:b/>
        </w:rPr>
        <w:t>Percentage of pay bill spent on facility time</w:t>
      </w:r>
    </w:p>
    <w:p w:rsidR="00241EF1" w:rsidRDefault="00241EF1" w:rsidP="005742E5">
      <w:pPr>
        <w:jc w:val="both"/>
        <w:rPr>
          <w:rFonts w:ascii="Arial" w:hAnsi="Arial" w:cs="Arial"/>
        </w:rPr>
      </w:pPr>
      <w:r>
        <w:rPr>
          <w:rFonts w:ascii="Arial" w:hAnsi="Arial" w:cs="Arial"/>
        </w:rPr>
        <w:t>This table represents the percentage of the total pay bill spent on paying employees who were relevant union officials for facility time during the period 1 April 202</w:t>
      </w:r>
      <w:r w:rsidR="00AB502B">
        <w:rPr>
          <w:rFonts w:ascii="Arial" w:hAnsi="Arial" w:cs="Arial"/>
        </w:rPr>
        <w:t>1</w:t>
      </w:r>
      <w:r>
        <w:rPr>
          <w:rFonts w:ascii="Arial" w:hAnsi="Arial" w:cs="Arial"/>
        </w:rPr>
        <w:t xml:space="preserve"> to 31 March 202</w:t>
      </w:r>
      <w:r w:rsidR="00AB502B">
        <w:rPr>
          <w:rFonts w:ascii="Arial" w:hAnsi="Arial" w:cs="Arial"/>
        </w:rPr>
        <w:t>2</w:t>
      </w:r>
      <w:r>
        <w:rPr>
          <w:rFonts w:ascii="Arial" w:hAnsi="Arial" w:cs="Arial"/>
        </w:rPr>
        <w:t>.</w:t>
      </w:r>
    </w:p>
    <w:tbl>
      <w:tblPr>
        <w:tblStyle w:val="TableGrid"/>
        <w:tblW w:w="0" w:type="auto"/>
        <w:tblLook w:val="04A0" w:firstRow="1" w:lastRow="0" w:firstColumn="1" w:lastColumn="0" w:noHBand="0" w:noVBand="1"/>
      </w:tblPr>
      <w:tblGrid>
        <w:gridCol w:w="7576"/>
        <w:gridCol w:w="1440"/>
      </w:tblGrid>
      <w:tr w:rsidR="00241EF1" w:rsidTr="00241EF1">
        <w:tc>
          <w:tcPr>
            <w:tcW w:w="7650" w:type="dxa"/>
          </w:tcPr>
          <w:p w:rsidR="00241EF1" w:rsidRDefault="00241EF1" w:rsidP="005742E5">
            <w:pPr>
              <w:jc w:val="both"/>
              <w:rPr>
                <w:rFonts w:ascii="Arial" w:hAnsi="Arial" w:cs="Arial"/>
              </w:rPr>
            </w:pPr>
          </w:p>
        </w:tc>
        <w:tc>
          <w:tcPr>
            <w:tcW w:w="1366" w:type="dxa"/>
          </w:tcPr>
          <w:p w:rsidR="00241EF1" w:rsidRPr="00241EF1" w:rsidRDefault="00241EF1" w:rsidP="005742E5">
            <w:pPr>
              <w:jc w:val="both"/>
              <w:rPr>
                <w:rFonts w:ascii="Arial" w:hAnsi="Arial" w:cs="Arial"/>
                <w:i/>
              </w:rPr>
            </w:pPr>
            <w:r w:rsidRPr="00241EF1">
              <w:rPr>
                <w:rFonts w:ascii="Arial" w:hAnsi="Arial" w:cs="Arial"/>
                <w:i/>
              </w:rPr>
              <w:t>Figures</w:t>
            </w:r>
          </w:p>
        </w:tc>
      </w:tr>
      <w:tr w:rsidR="00241EF1" w:rsidTr="00241EF1">
        <w:tc>
          <w:tcPr>
            <w:tcW w:w="7650" w:type="dxa"/>
          </w:tcPr>
          <w:p w:rsidR="00241EF1" w:rsidRDefault="00241EF1" w:rsidP="005742E5">
            <w:pPr>
              <w:jc w:val="both"/>
              <w:rPr>
                <w:rFonts w:ascii="Arial" w:hAnsi="Arial" w:cs="Arial"/>
              </w:rPr>
            </w:pPr>
            <w:r>
              <w:rPr>
                <w:rFonts w:ascii="Arial" w:hAnsi="Arial" w:cs="Arial"/>
              </w:rPr>
              <w:t>The total cost of facility time</w:t>
            </w:r>
          </w:p>
        </w:tc>
        <w:tc>
          <w:tcPr>
            <w:tcW w:w="1366" w:type="dxa"/>
          </w:tcPr>
          <w:p w:rsidR="00241EF1" w:rsidRDefault="00395C97" w:rsidP="005742E5">
            <w:pPr>
              <w:jc w:val="both"/>
              <w:rPr>
                <w:rFonts w:ascii="Arial" w:hAnsi="Arial" w:cs="Arial"/>
              </w:rPr>
            </w:pPr>
            <w:r>
              <w:rPr>
                <w:rFonts w:ascii="Arial" w:hAnsi="Arial" w:cs="Arial"/>
              </w:rPr>
              <w:t>£9,</w:t>
            </w:r>
            <w:r w:rsidR="00AB502B">
              <w:rPr>
                <w:rFonts w:ascii="Arial" w:hAnsi="Arial" w:cs="Arial"/>
              </w:rPr>
              <w:t>755.12</w:t>
            </w:r>
          </w:p>
        </w:tc>
      </w:tr>
      <w:tr w:rsidR="00241EF1" w:rsidTr="00241EF1">
        <w:tc>
          <w:tcPr>
            <w:tcW w:w="7650" w:type="dxa"/>
          </w:tcPr>
          <w:p w:rsidR="00241EF1" w:rsidRDefault="00241EF1" w:rsidP="005742E5">
            <w:pPr>
              <w:jc w:val="both"/>
              <w:rPr>
                <w:rFonts w:ascii="Arial" w:hAnsi="Arial" w:cs="Arial"/>
              </w:rPr>
            </w:pPr>
            <w:r>
              <w:rPr>
                <w:rFonts w:ascii="Arial" w:hAnsi="Arial" w:cs="Arial"/>
              </w:rPr>
              <w:t>Total pay bill</w:t>
            </w:r>
          </w:p>
        </w:tc>
        <w:tc>
          <w:tcPr>
            <w:tcW w:w="1366" w:type="dxa"/>
          </w:tcPr>
          <w:p w:rsidR="00241EF1" w:rsidRDefault="00541974" w:rsidP="005742E5">
            <w:pPr>
              <w:jc w:val="both"/>
              <w:rPr>
                <w:rFonts w:ascii="Arial" w:hAnsi="Arial" w:cs="Arial"/>
              </w:rPr>
            </w:pPr>
            <w:r>
              <w:rPr>
                <w:rFonts w:ascii="Arial" w:hAnsi="Arial" w:cs="Arial"/>
              </w:rPr>
              <w:t>£33,337,000</w:t>
            </w:r>
          </w:p>
        </w:tc>
      </w:tr>
      <w:tr w:rsidR="00241EF1" w:rsidTr="00241EF1">
        <w:tc>
          <w:tcPr>
            <w:tcW w:w="7650" w:type="dxa"/>
          </w:tcPr>
          <w:p w:rsidR="00241EF1" w:rsidRDefault="00241EF1" w:rsidP="005742E5">
            <w:pPr>
              <w:jc w:val="both"/>
              <w:rPr>
                <w:rFonts w:ascii="Arial" w:hAnsi="Arial" w:cs="Arial"/>
              </w:rPr>
            </w:pPr>
            <w:r>
              <w:rPr>
                <w:rFonts w:ascii="Arial" w:hAnsi="Arial" w:cs="Arial"/>
              </w:rPr>
              <w:t xml:space="preserve">Percentage </w:t>
            </w:r>
            <w:r w:rsidR="00CA761D">
              <w:rPr>
                <w:rFonts w:ascii="Arial" w:hAnsi="Arial" w:cs="Arial"/>
              </w:rPr>
              <w:t>of the total pay bill spent on facility time, calculated as: (total cost of facility time ÷ total pay bill) x100</w:t>
            </w:r>
          </w:p>
        </w:tc>
        <w:tc>
          <w:tcPr>
            <w:tcW w:w="1366" w:type="dxa"/>
          </w:tcPr>
          <w:p w:rsidR="00241EF1" w:rsidRDefault="00395C97" w:rsidP="005742E5">
            <w:pPr>
              <w:jc w:val="both"/>
              <w:rPr>
                <w:rFonts w:ascii="Arial" w:hAnsi="Arial" w:cs="Arial"/>
              </w:rPr>
            </w:pPr>
            <w:r>
              <w:rPr>
                <w:rFonts w:ascii="Arial" w:hAnsi="Arial" w:cs="Arial"/>
              </w:rPr>
              <w:t>0.03</w:t>
            </w:r>
          </w:p>
        </w:tc>
      </w:tr>
    </w:tbl>
    <w:p w:rsidR="00241EF1" w:rsidRDefault="00241EF1" w:rsidP="005742E5">
      <w:pPr>
        <w:jc w:val="both"/>
        <w:rPr>
          <w:rFonts w:ascii="Arial" w:hAnsi="Arial" w:cs="Arial"/>
        </w:rPr>
      </w:pPr>
    </w:p>
    <w:p w:rsidR="00795DF8" w:rsidRDefault="00B73B41" w:rsidP="005742E5">
      <w:pPr>
        <w:jc w:val="both"/>
        <w:rPr>
          <w:rFonts w:ascii="Arial" w:hAnsi="Arial" w:cs="Arial"/>
          <w:b/>
        </w:rPr>
      </w:pPr>
      <w:r>
        <w:rPr>
          <w:rFonts w:ascii="Arial" w:hAnsi="Arial" w:cs="Arial"/>
          <w:b/>
        </w:rPr>
        <w:t>Table 4</w:t>
      </w:r>
    </w:p>
    <w:p w:rsidR="00B73B41" w:rsidRDefault="00B73B41" w:rsidP="005742E5">
      <w:pPr>
        <w:jc w:val="both"/>
        <w:rPr>
          <w:rFonts w:ascii="Arial" w:hAnsi="Arial" w:cs="Arial"/>
          <w:b/>
        </w:rPr>
      </w:pPr>
      <w:r>
        <w:rPr>
          <w:rFonts w:ascii="Arial" w:hAnsi="Arial" w:cs="Arial"/>
          <w:b/>
        </w:rPr>
        <w:t>Paid trade union activities</w:t>
      </w:r>
    </w:p>
    <w:p w:rsidR="00B73B41" w:rsidRDefault="00B73B41" w:rsidP="005742E5">
      <w:pPr>
        <w:jc w:val="both"/>
        <w:rPr>
          <w:rFonts w:ascii="Arial" w:hAnsi="Arial" w:cs="Arial"/>
        </w:rPr>
      </w:pPr>
      <w:r>
        <w:rPr>
          <w:rFonts w:ascii="Arial" w:hAnsi="Arial" w:cs="Arial"/>
        </w:rPr>
        <w:t>As a percentage of total paid facility time hours, hours spent by employees who were relevant union officials during the period 1 April 2021 to 31 March 2022 on paid trade union activities.</w:t>
      </w:r>
    </w:p>
    <w:tbl>
      <w:tblPr>
        <w:tblStyle w:val="TableGrid"/>
        <w:tblW w:w="0" w:type="auto"/>
        <w:tblLook w:val="04A0" w:firstRow="1" w:lastRow="0" w:firstColumn="1" w:lastColumn="0" w:noHBand="0" w:noVBand="1"/>
      </w:tblPr>
      <w:tblGrid>
        <w:gridCol w:w="6658"/>
        <w:gridCol w:w="2358"/>
      </w:tblGrid>
      <w:tr w:rsidR="00B73B41" w:rsidTr="00B73B41">
        <w:tc>
          <w:tcPr>
            <w:tcW w:w="6658" w:type="dxa"/>
          </w:tcPr>
          <w:p w:rsidR="00B73B41" w:rsidRDefault="00B73B41" w:rsidP="005742E5">
            <w:pPr>
              <w:jc w:val="both"/>
              <w:rPr>
                <w:rFonts w:ascii="Arial" w:hAnsi="Arial" w:cs="Arial"/>
              </w:rPr>
            </w:pPr>
            <w:r>
              <w:rPr>
                <w:rFonts w:ascii="Arial" w:hAnsi="Arial" w:cs="Arial"/>
              </w:rPr>
              <w:t>Time spent on paid trade union activities as a percentage of total paid facility time</w:t>
            </w:r>
          </w:p>
        </w:tc>
        <w:tc>
          <w:tcPr>
            <w:tcW w:w="2358" w:type="dxa"/>
          </w:tcPr>
          <w:p w:rsidR="00B73B41" w:rsidRDefault="00B73B41" w:rsidP="005742E5">
            <w:pPr>
              <w:jc w:val="both"/>
              <w:rPr>
                <w:rFonts w:ascii="Arial" w:hAnsi="Arial" w:cs="Arial"/>
              </w:rPr>
            </w:pPr>
            <w:r>
              <w:rPr>
                <w:rFonts w:ascii="Arial" w:hAnsi="Arial" w:cs="Arial"/>
              </w:rPr>
              <w:t>Not Known</w:t>
            </w:r>
          </w:p>
        </w:tc>
      </w:tr>
    </w:tbl>
    <w:p w:rsidR="00B73B41" w:rsidRDefault="00B73B41" w:rsidP="005742E5">
      <w:pPr>
        <w:jc w:val="both"/>
        <w:rPr>
          <w:rFonts w:ascii="Arial" w:hAnsi="Arial" w:cs="Arial"/>
        </w:rPr>
      </w:pPr>
    </w:p>
    <w:p w:rsidR="00B73B41" w:rsidRPr="00B73B41" w:rsidRDefault="00B73B41" w:rsidP="005742E5">
      <w:pPr>
        <w:jc w:val="both"/>
        <w:rPr>
          <w:rFonts w:ascii="Arial" w:hAnsi="Arial" w:cs="Arial"/>
        </w:rPr>
      </w:pPr>
      <w:r>
        <w:rPr>
          <w:rFonts w:ascii="Arial" w:hAnsi="Arial" w:cs="Arial"/>
        </w:rPr>
        <w:t xml:space="preserve">Note, this is defined as trade union activities that were solely for the purpose of discussing union matters. </w:t>
      </w:r>
    </w:p>
    <w:sectPr w:rsidR="00B73B41" w:rsidRPr="00B73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E5"/>
    <w:rsid w:val="00193ACE"/>
    <w:rsid w:val="00241EF1"/>
    <w:rsid w:val="00395C97"/>
    <w:rsid w:val="00541974"/>
    <w:rsid w:val="005742E5"/>
    <w:rsid w:val="00795DF8"/>
    <w:rsid w:val="00AB502B"/>
    <w:rsid w:val="00B73B41"/>
    <w:rsid w:val="00CA391D"/>
    <w:rsid w:val="00CA761D"/>
    <w:rsid w:val="00D83E62"/>
    <w:rsid w:val="00DB2042"/>
    <w:rsid w:val="00E02318"/>
    <w:rsid w:val="00E92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A8F9"/>
  <w15:chartTrackingRefBased/>
  <w15:docId w15:val="{EDCDCBC3-A7E8-4D3B-80A6-35A857E8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0A5A1-AAE9-40ED-8E47-4AEBE999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Parsons</dc:creator>
  <cp:keywords/>
  <dc:description/>
  <cp:lastModifiedBy>Rob Parsons</cp:lastModifiedBy>
  <cp:revision>5</cp:revision>
  <dcterms:created xsi:type="dcterms:W3CDTF">2022-12-05T14:33:00Z</dcterms:created>
  <dcterms:modified xsi:type="dcterms:W3CDTF">2022-12-07T16:25:00Z</dcterms:modified>
</cp:coreProperties>
</file>